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H11.2.3.2.02.02.009.4501029.2020851250012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PARA GASTOS DE FUNCIONAMIENTO PARA EL PERSONAL DE LA CARCEL PENITENCIARIA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cumplir con los preceptos Constitucionales y sus principios fundamentales, los cuales instan a brindar servicio a la comunidad, además de brindar protección a las personas en su vida, honra, bienes, creencias y demás derechos y libertades consagrados en la Carta Magna, con el objetivo de asegurar el cumplimiento de los deberes que el Estado tiene con sus particulares. (Constitución Política de 1991, artículo 2).
Asimismo, el Estado consagra una estructura de los poderes públicos, los cuales tienen funciones separadas, pero que deben realizar un trabajo conjunto y armónico para lograr el cumplimiento eficaz de los fines esenciales del Estado. (Constitución Política de 1991, artículo 113).
Teniendo en cuenta que el Estado de velar por garantizar el cumplimiento de los derechos de las personas, dentro de los derechos fundamentales se encuentra el trato igualitario que se debe tener con todas las personas, sin discriminación alguna por su sexo, raza, origen, lengua, opinión política y condición. (Constitución Política de 1991, artículo 13).
Ahora bien, con base en la normatividad citada anteriormente, se expide la Ley 65 de 1993 o Código Penitenciario y Carcelario, el cual tiene como objetivo regular el cumplimiento de las medidas de aseguramiento, ejecución de penas privativas de la libertad personal y las medidas de seguridad. (Ley 65 de 1993, artículo 1).
Asimismo, se concibe en la presente Ley el derecho a la igualdad como:
Se prohíbe toda forma de discriminación por razones de sexo, raza, origen nacional o familiar, lengua, religión, opinión política o filosófica.
Lo anterior no obsta para que se puedan establecer distinciones razonables por motivos de seguridad, de resocialización y para el cumplimiento de la sentencia y de la política penitenciaria y carcelaria. (Ley 65 de 1993, artículo 3). 
El Estado Colombiano consagra un Sistema Nacional Penitenciario y Carcelario y las Cárceles Departamentales y Municipales. Para el caso de la creación y organización de los establecimientos de reclusión Nacional, serán administrados y vigilados por el Instituto Nacional Penitenciario y Carcelario. (Ley 65 de 1993, artículo16). Para el caso de las cárceles Departamentales y Municipales, estas deberán ser creadas, fusionadas, direccionadas, organizadas, administradas, sostenidas y vigiladas por los Departamentos y Municipios. Por lo tanto, los municipios y departamentos, deberán incluir partidas presupuestales para el financiamiento de las cárceles. (Ley 65 de 1993, artículo 17). 
En los casos que los municipios y/o departamentos no cuenten con cárceles propias, podrán suscribir convenios de integración para el mejoramiento de la infraestructura y el sostenimiento en conjunto de los establecimientos de reclusión, en los cuales se logrará la financiación de:
a) Fijación de sobresueldos a los empleados del respectivo establecimiento de reclusión; b) Dotación de los elementos y recursos necesarios para los internos incorporados a las cárceles nacionales; c) Provisión de alimentación en una cuantía no menor de la señalada por el Instituto Nacional Penitenciario y Carcelario para sus internos; d) Reparación, adaptación y mantenimiento de los edificios y de sus servicios, s i son de propiedad de los departamentos o municipios. (Ley 65 de 1993, artículo 19).
Asimismo, según la Ley 489 de 1998 en su artículo 95 concibe la asociación entre las entidades públicas,
“Las 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 (Ley 489 de 1998, artículo 95)
Como la Alcaldía Municipal de Hato Corozal carece de una cárcel para el recibo de sus presos, desea suscribir Convenio Interadministrativo  cuyo objeto es: AUNAR ESFUERZOS CON LA FINALIDAD DE INVERTIR LOS RECURSOS APORTADOS POR LA ENTIDAD TERRITORIAL DESTINADOS AL ESTABLECIMIENTO DE RECLUSIÓN DEL ORDEN NACIONAL INPEC, QUE RECIBEN PERSONAS INDICIADAS O SINDICADAS CON DETENCIÓN PREVENTIVA DEL MUNICIPIO DE HATO COROZAL-CASANARE. El presente Convenio se pactará por el valor de doce Millones de Pesos M/Cte. ($12.000.000)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apoyo al  Instituto Nacional Penitenciario y Carcelario - INPEC – Regional Central, con el objetivo de cumplir con el Convenio Interadministrativo a suscribir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1-Suscribir con diligencia y oportunidad en el convenio interadministrativo 
2- velar por el buen desarrollo del convenio, que se ejecute conforme con el proyecto, estudios previos fichas tecnicas y demas documentos anexos al convenio
3- Resolver los inconvenientes y divergencias que se presente en el desarrollo del convenio
4-Realizar reuniones  de evaluacion y coordinacion cuando resulte necesario, durante el termino de ejecucion del convenio
5- nombrar un supervisor que represente a la entidad para la ejecucion y hasta la liquidacion  del presente convenio.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93141506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finalidad de suscribir el presente Convenio Interadministrativo es la de destinar los bienes permitidos en los literales b) del artículo 19 de la Ley 65 de 1993.  y 1709 de 2014.
LEY 715 de 1991 art 76 numeral 162
constitucion politica de colombia y demas normas concordantes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 base en lo anterior, se tiene que el valor total del convenio a celebrar es por la suma de doce millones de pesos M/Cte. ($12.000.000), con recursos del presupuesto municipal de la vigencia fiscal 2023, prevenientes de la fuente: Ingresos corrientes de libre destinación (ICLD).</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presente Convenio se regirá por las disposiciones de los artículos 1 13 y 209 de la Constitución Política, los cuales consagran la colaboración y coordinación armónica de los órganos del Estado en cumplimiento de sus fines, el artículo 95 de la Ley 489 de 1998, que faculta a las entidades públicas a asociarse con el fin de cooperar en el cumplimiento de sus funciones administrativas o de prestar conjuntamente servicios que se hallen a su cargo, mediante la celebración de convenios interadministrativos, garantizando el eficiente y eficaz ejercicio de las funciones públicas. De igual manera de artículo 2 de la Ley 80 de 1993, concordante con el artículo 2 literal c) de [a Ley 1 150 de 2007, modificado por el artículo 92 de la Ley 1474 de 201 1 y el artículo 2.2.1 .2.1 .4.4. Del Decreto 1082 de 2015, que señala la procedencia de la contratación directa en el caso de convenios entre entidades públicas,
LEY 65 DE 1993
LEY 715 DE 1991 y demas normas concordantes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AUNAR ESFUERZOS CON LA FINALIDAD DE INVERTIR LOS RECURSOS APORTADOS POR LA ENTIDAD TERRITORIAL DESTINADOS AL ESTABLECIMIENTO DE RECLUSIÓN DEL ORDEN NACIONAL INPEC, QUE RECIBEN PERSONAS INDICIADAS O SINDICADAS CON DETENCIÓN PREVENTIVA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plazo de ejecución del presente convenio es hasta el 30 de diciembre de 2023, fecha que se contara apartir de la firma del acta de inicio sin sobre pasar la presente vigencia del convenio.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