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2023-01-17</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$12.232.000,00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profesional en el desarrollo de proyectos de infraestructura vial.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Habitantes del municipio de Hato Corozal Casanare (Fuente: Proyección del DANE, 30 de junio de 2021).</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la constitución política de Colombia en el articulo 2 se dice que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dependencia nacional, mantener la integridad territorial y asegurar la convivencia pacífica y la vigencia de un orden justo.
La ley 1551 "Por la cual se dictan normas para modernizar la organización y el funcionamiento de los municipios", en el articulo 6 numeral 3 se dice que es responsabilidad de la administración municipal promover el desarrollo de su territorio y construir las obras que demanden el progreso municipal, para lo anterior deben tenerse en cuenta, entre otros: los planes de vida de los pueblos y comunidades indígenas y los planes de desarrollo comunal que tengan los respectivos organismos de acción comunal. 
La alcaldia del municipio de Hato Corozal esta al servicio de los intereses de la comunidad, los cuales se fundamentan en los principios que rigen la administración pública; con el fin de satisfacer dichos derechos constitucionales de la población se adelantan acciones para generan un adecuado desarrollo de las labores y funciones técnicas y profesionales que se encuentran a cargo de la secretaria de planeación y política sectorial del municipio. Esta administración a través de la secretaria de planeación ha proyectado la linea estratégica de los planes, programas y proyectos que inician y culminan con la materialización de proyectos de impacto local, para lo cual necesitan del establecimiento de procesos y herramientas que permitan diseñar, formular, supervisar y ejercer control a los proyectos llevados a cabo por las mismas administraciones. 
Dentro de la unidades ejecutoras que conforman a la alcaldia municipal se encuentra la secretaria de planeación y política sectorial, dependencia que para el presente año espera ejecutar proyectos de infraestructura vial, los cuales requieren del acompañamiento constante de un profesional para así garantizar altos estándares de calidad en las obras a contratar y de esta manera llevar un seguimiento y control del avance de las obras en ejecución tanto en el área urbana como rural, así mismo de los proyectos que se realicen por parte de la administración municipal. Para garantizar que dichos proyectos se realicen bajo los principios de eficacia, eficiencia, economía y planeación es necesario que sean realizados con una buena planificación, programación y organización y durante la ejecución deben ser acompañados, inspeccionados, observados y controlados al 100%.
Por ello la administración municipal ve necesario la contratación de un profesional en el área de ingeniería civil con experiencia e idoneidad, que cumpla a cabalidad con lo mencionado anteriormente, para evitar fallas que se generen durante la ejecución de los proyectos, como obras inconclusas o mala planificación.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La supervisión de la ejecución de las actividades del contrato que se derive del presente estudio previo estará a cargo de la Secretaria de Planeación y Política Sectorial, quien ejercerá las funciones de supervisión.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de apoyo en el desarrollo de procesos de infraestructura vial con el fin de garantizar la correcta ejecución de los mismos, asegurando su debida entrega a la comunidad, recibo de la administración y liquidación final, teniendo en cuenta todos los aspectos técnicos necesarios y cumplimiento de todas las normativas.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asistencia profesional en la supervisión, control, seguimiento, ejecución y liquidación de contratos de obra e interventoría.
2.	Realizar visitas técnicas de evaluación y caracterización según requerimientos prioritarios de las necesidades de la comunidad. 
3.	Elaborar procesos precontractuales y contractuales de infraestructura vial que adelante la administración municipal.
4.	Prestar los servicios profesionales en la revisión de los diferentes componentes técnicos de proyectos de infraestructura vial.
5.	Calcular cantidades de obra, análisis de precios unitarios y presupuestos para los diferentes proyectos de infraestructura vial.
6.	Las demás actividades inherentes al objeto contractual y que sean designadas por el supervisor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80111614</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Persona natural con título profesional de Ingeniería civil, perfil profesional categoría 6, según Decreto Municipal N°100.13.048 del 17 de mayo del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Proyecto: FORTALECIMIENTO AL DESEMPEÑO ADMNISTRATIVO E INSTITUCIONAL DEL MUNICIPIO DE HATO COROZAL, elaborado y viabilizado por la Secretaria de Planeación y Política Sectorial, inscrito en el Banco de Programas y Proyectos del Municipio de Hato Corozal, con código BPIM No. 2020851250002- TERRITORIAL
LINEA 4: HATO COROZAL ALTO Y SOSTENIBLE POR EL FORTALECIMIENTO INSTITUCIONAL Y COMUNITARIO
Sector: Fortalecimiento institucional.
Programa: Hato Corozal por un gobierno sostenible.
Actividad: Fortalecer la gestión administrativa.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numero 4 del artículo 2 de la ley 1150 de 2007 y el artículo 2.2.1.2.1.4.9 del decreto 1082 de 2015, por tratarse de un contrato de prestación de servicios profesionales y el contrato que llegase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Profesional Categoria 6, desde 2.700.000 hasta 2.780.000. En virtud de lo anterior, el presupuesto oficial para la presente contratación es como se detalla a continuación:
Valor Mensual: TRES MILLONES CINCUENTA Y OCHO MIL PESOS M/CTE ($ 3.058.000)
Valor Contrato: DOCE MILLONES DOSCIENTOS TREINTA Y DOS MIL PESOS M/CTE ($ 12.232.000)
En base a lo anterior se aplico el articulo octavo del decreto en mención. Donde se expresa que; Los honorarios se podrán reajustar de acuerdo a circunstancias del mercado laboral, lugar de prestación del servicio y factores de tipo económico, entre ellos el Índice de Precios al Consumidor - IPC, en todo caso deberá tenerse en cuenta el presupuesto disponible para la presente vigencia.</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título profesional de Ingeniería civil, perfil profesional categoría 6, según Decreto Municipal N°100.13.048 del 17 de mayo del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COMO INGENIERO CIVIL PARA EL DESARROLLO DE PROCESOS  DE INFRAESTRUCTURA VIAL EN 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(3) actas parciales por valor de TRES MILLONES CINCUENTA Y OCHO MIL PESOS M/CTE ($ 3.058.000,00),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del Sistema General de Seguridad Social (salud y pensión), Sistema General de Riesgos Laborales y un (1) último pago por valor de TRES MILLONES CINCUENTA Y OCHO MIL PESOS M/CTE ($ 3.058.000,00), una vez suscrita la respectiva acta de liquidación previa entrega del informe de actividades correspondiente y recibo a satisfacción por parte del supervisor del contrato y de encontrarse al día en los pagos del Sistema General de Seguridad Social (salud y pensión) y el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12.232.000,00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ANA FERNANDA SOTO DAZA</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1118650686</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SECRETARIO(A) DE PLANEACIÓN Y POLÍTICA SECTORIAL</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ANA FERNANDA SOTO DAZA</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1118650686</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SECRETARIO(A) DE PLANEACIÓN Y POLÍTICA SECTORIAL</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