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GENERAL Y DE GOBIERNO DE HATO COROZAL, EN LOS PROCESOS CONTRACTUALES, POLICIVOS Y JURÍDICOS QUE ADELANTA ESTA DEPENDENCIA.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2023-01-16 cuyo Objeto: PRESTAR SERVICIOS PROFESIONALES A LA SECRETARÍA GENERAL Y DE GOBIERNO DE HATO COROZAL, EN LOS PROCESOS CONTRACTUALES, POLICIVOS Y JURÍDICOS QUE ADELANTA ESTA DEPENDENCIA.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