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OBRA PÚBLICA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0180</w:t>
            </w:r>
            <w:r w:rsidR="00EC7A5C" w:rsidRPr="0002150A">
              <w:rPr>
                <w:rFonts w:cs="Arial"/>
                <w:b/>
                <w:sz w:val="20"/>
                <w:szCs w:val="20"/>
              </w:rPr>
              <w:t xml:space="preserve"> DEL </w:t>
            </w:r>
            <w:r w:rsidR="003C7021" w:rsidRPr="0002150A">
              <w:rPr>
                <w:rFonts w:cs="Arial"/>
                <w:b/>
                <w:sz w:val="20"/>
                <w:szCs w:val="20"/>
              </w:rPr>
              <w:t>2023-07-05</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CONSTRUCCIÓN DE CERCA PERIMETRAL EN ALAMBRE DE PÚA PARA DELIMITAR Y AISLAR EL PREDIO VALLE DE DIOS DEL MUNICIPIO DE HATO COROZAL,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JYL CONSTRUCCIONES SAS</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901293571-9</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Un  (1) MES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$31.798.911,00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2023-07-05</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2023-07-06</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2023-08-05</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ANA FERNANDA SOTO DAZA</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Seis(06) </w:t>
      </w:r>
      <w:r w:rsidRPr="003B2571">
        <w:rPr>
          <w:rFonts w:cs="Arial"/>
          <w:sz w:val="20"/>
          <w:szCs w:val="20"/>
        </w:rPr>
        <w:t xml:space="preserve">días del mes de </w:t>
      </w:r>
      <w:r w:rsidR="002754DB" w:rsidRPr="003B2571">
        <w:rPr>
          <w:rFonts w:cs="Arial"/>
          <w:sz w:val="20"/>
          <w:szCs w:val="20"/>
        </w:rPr>
        <w:t>Julio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ANA FERNANDA SOTO DAZA </w:t>
      </w:r>
      <w:r w:rsidRPr="003B2571">
        <w:rPr>
          <w:rFonts w:cs="Arial"/>
          <w:sz w:val="20"/>
          <w:szCs w:val="20"/>
        </w:rPr>
        <w:t xml:space="preserve">y </w:t>
      </w:r>
      <w:r w:rsidR="002754DB" w:rsidRPr="003B2571">
        <w:rPr>
          <w:rFonts w:cs="Arial"/>
          <w:sz w:val="20"/>
          <w:szCs w:val="20"/>
        </w:rPr>
        <w:t>ANGY PAOLA OCHOA GUEVARA, identificado(a) con cédula de ciudadanía 1115866920 de PAZ DE ARIPORO, representante legal de(l-la) JYL CONSTRUCCIONES SAS</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OBRA PÚBLICA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0180</w:t>
      </w:r>
      <w:r w:rsidRPr="003B2571">
        <w:rPr>
          <w:rFonts w:cs="Arial"/>
          <w:b/>
          <w:sz w:val="20"/>
          <w:szCs w:val="20"/>
        </w:rPr>
        <w:t xml:space="preserve"> DEL </w:t>
      </w:r>
      <w:r w:rsidR="00B96CD0" w:rsidRPr="003B2571">
        <w:rPr>
          <w:rFonts w:cs="Arial"/>
          <w:sz w:val="20"/>
          <w:szCs w:val="20"/>
        </w:rPr>
        <w:t>2023-07-05</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0236</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2023-06-21</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G21.2.3.2.02.02.005.3202012.2021851250011</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$31.895.271,00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0476</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2023-07-05</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G21.2.3.2.02.02.005.3202012.2021851250011</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$31.798.911,00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Seis(06) días del mes de Julio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ANGY PAOLA OCHOA GUEVARA R/L JYL CONSTRUCCIONES SAS</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