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2023-06-06</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Construcción , Mantenimiento, y Ampliación, para el Mejoramiento del Sector Vial,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2020851250017</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F41.2.3.2.02.02.005.2402041.2020851250017</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DE LA CONSTRUCCIÓN</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$26.574.578,00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CONSTRUCCIÓN, MANTENIMIENTO Y AMPLIACIÓN DE VÍAS URBANAS Y RURALES</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Vía terciaria rehabilitada</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Construcción de alcantarilla sencilla en la vía rural del Municipio De Hato Corozal, Casanare.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6687 Habitantes de la zona rural del Municipio de Hato Corozal que residen de manera permanente en veredas (fuente: proyecciones del 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3</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De acuerdo con lo establecido en el artículo 1º de la Constitución Nacional, Colombia es un Estado Social de Derecho, en el cual se reconoce la autonomía de las entidades territoriales para gobernarse, de conformidad con los principios de la función pública, guiada por el respeto y la prevalencia de la solidaridad y el interés general.
El Artículo 2 de la Constitución Política establece como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
El municipio de hato corozal, es uno de los municipios de Casanare, con mayor problema de transitabilidad entre las comunidades del sector rural y el casco urbano del municipio; lo cual, conlleva a que las comunidades presenten unos altos niveles de atraso en los principales indicadores de calidad de vida; la causa principal es la falta de infraestructura vial en el sector rural, afectando el desarrollo agropecuario.
La administración Municipal de Hato Corozal, contempla una serie de actividades encaminadas al desarrollo territorial en cuanto al diseño, construcción, mantenimiento y rehabilitación del sector vial; Programa: HATO COROZAL ALTO Y SOSTENIBLE CON MOVILIDAD PARA TODOS., cuyo objetivo es Mejorar la infraestructura vial de nuestras comunidades para que mejoren su calidad de vida, accediendo a servicios y oportunidades que deben ser garantizados por el estado y en este caso por el Municipio de Hato Corozal.
El municipio de Hato Corozal, como ente territorial, de conformidad con lo previsto en el Artículo 311 de la Constitución Política de Colombia, tiene como fin primordial prestar los servicios públicos que determine la Ley, construir las obras que demande el progreso local, ordenar el desarrollo del territorio, promover la participación comunitaria, el mejoramiento social y cultural de sus habitantes y cumplir las demás funciones que le asigne la Constitución y la Ley. Dentro del Plan de desarrollo “2020-2023 Hato Corozal Alto Y Sostenible” LÍNEA ESTRATÉGICA 2: HATO COROZAL ALTO Y SOSTENIBLE CON GENERACIÓN DE EMPLEO, INFRAESTRUCTURA Y VIVIENDA, sector de competencia: TRANSPORTE, programa HATO COROZAL ALTO Y SOSTENIBLE CON MOVILIDAD PARA TODOS, para brindar unas buenas condiciones de acceso y transitabilidad a los diferentes lugares a los habitantes del municipio, y en particular en el área rural, proporcionando a la comunidad un desarrollo humano integral y sostenible que contribuya a mejorar su calidad de vida
Los Municipios determinarán con claridad la misión, propósito y metas de cada una de sus dependencias o entidades, dando cumplimiento al principio de eficacia; así mismo deberán optimizar el uso de los recursos financieros, humanos y técnicos, definir una organización administrativa racional que les permita cumplir de manera adecuada las funciones y servicios a su cargo, aplicando el principio de eficiencia
La secretaria de Planeación y Política Sectorial del municipio de Hato Corozal, es la encargada de liderar la política de Infraestructura en el Municipio, promoviendo la realización de obras de interés para el desarrollo del municipio en general; uno de los campos de acción es propender por la conservación, mejoramiento y construcción de la red vial del municipio y demás obras físicas plasmadas en el plan de desarrollo, así como, apoyar la acción municipal en sus propios procesos de desarrollo de infraestructura. Esta secretaria realiza la evaluación de necesidades en infraestructura vial y tiene como deber identificar, evaluar y cuantificar técnicamente la magnitud del problema en infraestructura, para de esta manera proyectar la solución técnica más adecuada a cada una de las situaciones presentadas y manifestadas por la comunidad, buscando dar cumplimiento a las metas proyectadas en el Plan de Desarrollo Municipal.
En atención a lo explicado anteriormente la presente dependencia realizó visita técnica y recorrido o track, mediante el cual identificó el punto critico donde es necesaria la intervención con obra de arte por parte de la administración municipal, a la vía que conduce de la vereda el Berlin a santa maria del municipio de Hato Corozal, está vía actualmente cuenta con una bancada en material pétreo para Berlin que permite la transitabilidad de vehículos livianos, sin embargo en este sector se da transito a vehículos pesados debido a los cultivos de arroz en la zona y la via se ve afectada por la falta de una nueva alcantarilla en este punto que permitan el paso de aguas de escorrentías naturales. 
A razón de la solicitud insistente y oportuna de la comunidad de la vereda Berlín, en la cual se manifestó la imperante necesidad de reemplazar una obra de arte para la vía que comunica la vereda Berlin y santa maria, se realizó visita técnica, donde personal de la secretaria de planeación y política sectorial, dictaminaron la construcción de una alcantarilla sencilla, en el sitio crítico de la vía, para de esta manera lograr que en ese sector se pudiera transitar sin exponer a los transeúntes. 
De acuerdo a la visita técnica realizada por personal adscrito a la secretaria de Planeación y Política Sectorial, se identifica el sitio critico para la construcción de la obra de arte, la cual se describe:
1. La obra de arte a construir se encuentra localizada En el km 19+950 que de la marginal parte a la vereda berlin, con coordenadas N 05º59'14'' W71º43'58'' es necesario la construcción de una alcantarilla sencilla L:6m con su encole y descole, siendo este punto un desagüe natural en tiempo de invierno, se requiere complementar la obra con la conformación de la banca y accesos, debido que por ampliar su diseño de 5 a 6 metros se hace necesario el relleno de parte de la banca, motivo por el cual se requiere excavación hacia los laterales para tener espacios de trabajo, no se tendría mayor profundidad, ya que generaría que el nivel del agua en su mayor época de  inundación quede sobrepasando los anillos de la alcantarilla y no cumpla con su respectiva función, por esta misma razón las excavaciones Manuales del presupuesto son 10.55 metros cúbicos, cantidades relativamente menores al diseño, ya que su área de descapote es de 21.1 metros cuadrados área que hace referencia al área total de la estructura teniendo en cuenta los espacios que ocuparan formaletas por una altura de excavación de 0.40 metros, para su relleno de material de excavación como material crudo de rio, se tiene en cuenta la excavación realizada, como también los accesos a conformar de lado y lado de la alcantarilla lo cual son de 15 metros de distancia de cada lado por un ancho de 6 metros y la altura central de 0.8.                                      .
La ejecución del presente contrato es conveniente ya que con él se aporta al cumplimiento a las metas y objetivos trazados en el Plan de Desarrollo en el sector de vías y transporte, se mejorarán las condiciones de tránsito y comodidad de la población del área rural del municipio, en cada uno de los sectores a intervenir, contribuyendo de manera positiva al desarrollo del municipio. Conviene al municipio la realización de este proyecto, porque de esta manera se atiende diferentes requerimientos de la comunidad del sector rural, que han sido afectadas a lo largo del tiempo. 
Es oportuno para el municipio la ejecución del presente proceso a sabiendas que se cuenta con recurso presupuestal, que además es tiempo de favorable de trabajo de campo y estas situaciones harían que la obra se ejecute sin contratiempos y dentro el tiempo establecido, por lo tanto, se genera una solución eficaz y eficiente a las necesidades expuestas por las comunidades de los sectores afectados.</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a lo establecido en los estudios previos, el presente proceso tendrá una supervisión asumida por la entidad contratante, en este caso por parte de la Secretaría de Planeación y Política Sectorial, quien responderá por los hechos y omisiones que le fueren imputables en los términos previstos en el artículo 53 de la Ley 80.
El supervisor deberá ejercer el seguimiento técnico, administrativo, financiero, ambiental, contable y jurídico del contrato de obra conforme a lo señalado en el artículo 83 de la Ley 1474 de 2011.
Serán funciones del supervisor asegurar para EL MUNICIPIO DE HATO COROZAL, que el Contratista cumpla con las obligaciones pactadas en el contrato, para la correcta ejecución de las obras en los aspectos técnicos y administrativos del mismo.</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Se debe construir obra de drenaje, más exactamente alcantarilla sencilla, esta se construirá en vías que se encuentran dentro de la jurisdicción del municipio y que harán parte integral del presente proceso.</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Para el adecuado cumplimiento del objeto CONSTRUCCION DE UNA ALCANTARILLA SENCILLA EN TUBERIA DE CONCRETO REFORZADO DE DIAMETRO 36”, EN LA VIA DE LA VEREDA BERLIN, MUNICIPIO DE HATO COROZAL, CASANARE. sin perjuicio de las demás estipuladas en el respectivo contrato, así como las que por su esencia y naturaleza le correspondan y las consagradas en las disposiciones legales y reglamentarias sobre la materia, el contratista de la oferta seleccionada o representante legal o el delegado para su representación, deberá ejecutar las siguientes actividades como parte de sus obligaciones.
Las actividades a desarrollar serán las siguientes:
•	Demolición de alcantarilla tipo Ø=36"
•	Excavación a mano en material común
•	Descapote a mano
•	Relleno con material crudo de rio sin clasificar, compactado y transportado
•	Relleno de excavación (con material local) compactado
•	Concreto para solado resistencia 140 kg/cm2 - 2000 psi
•	Concreto para alcantarilla, resistencia 210 kg/cm2 - 3000 psi
•	Concreto Ciclópeo para alcantarillas de resistencia 3000 Psi o 210 Kg/cm²
•	Acero de Refuerzo Grado 37
•	Tubería Concreto Reforzado, clase I de diámetro 36", (INV.661)
Las Obligaciones a desarrollar serán las siguientes:
Obligaciones del Municipio:
• Girar los recursos disponibles y acordados en el presente Contrato de obra.
• Realizar Supervisión Técnica y Administrativa.
• Verificar que los bienes y servicios cumplan las normas exigidas vigentes y condiciones contractuales.
• El plazo del Contrato será de Un (01) mes para el desarrollo del Objeto Contractual.
Por parte del ejecutor:
•Realizar y ejecutar el contrato dentro de los plazos y términos establecidos y acordados entre las partes.
•Allegar las garantías exigidas.
•Los materiales a utilizar deberán ser de primera calidad y adquiridos en una carpintería que cuente con sus respectivos permisos de funcionamiento.
•Informar y conceptuar en forma continua sobre el avance, problemas y soluciones, en el desarrollo del contrato.
•Realizar registro de control fotográfico, fílmico y/o magnético, integrando un expediente del contrato.
•Afiliar a los trabajadores que emplee para la ejecución de las obras objeto del presente contrato, al sistema integral de seguridad social de manera tal que se garantice cada uno de sus componentes, de acuerdo a lo establecido en las leyes 100 de 1993, 776 y 789 de 2002 y 797
y 828 de 2003.
•La obra deberá ser entregada dentro del tiempo establecido y con una ejecución del 100%.
•Presentación de informe y actas de obra, actas de entrega a la comunidad, previo visto bueno del supervisor.
•Presentación acta de liquidación final, previo visto bueno del supervisor.
•El Contratista deberá tomar las precauciones necesarias para la seguridad del personal a su
cargo o servicio y los transeúntes, de acuerdo a las reglamentaciones vigentes en el país.
•Durante y a la terminación de la obra el Contratista deberá retirar el material sobrante y
entregar la obra en perfecto estado de limpieza.
•Señalizar y mantener la excelente adecuación locativa, con el fin de evitar accidentes en el
sector contratado.
•Ejecutar las actividades de acuerdo a las normas técnicas.
•Aportar su capacidad administrativa, técnica y operativa para el desarrollo del objeto
contractual.
•Disponer de los insumos, equipos, maquinaria y personal necesario para el cumplimiento del
objeto contractual de acuerdo a las especificaciones técnicas.
•Presentar las garantías que le sean solicitadas.
•Reemplazar los elementos defectuosos o que no cumplan con las especificaciones exigidas dentro de las cuarenta y ocho (48) horas siguientes a la fecha de la comunicación del supervisor del contrato, de acuerdo con los procedimientos que para tal objeto se definan por
parte de la entidad contratante.</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72140000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72141500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72141511</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30000000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30110000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30111600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30111601</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72140000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72141500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72141505</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95000000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95120000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95121600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95121633</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81000000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81100000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81101500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Anexo especificaciones tecnicas</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1. Proyecto: CONSTRUCCIÓN, MANTENIMIENTO y AMPLIACIÓN PARA EL MEJORAMIENTO DEL SECTOR
VIAL, DEL MUNICIPIO DE HATO COROZAL, elaborado y viabilizado por la Secretaria de Planeación y Política
Sectorial, inscrito en el Banco de Programas y Proyectos del Municipio de Hato Corozal, con código BPIM No.
2020-85125017.
2. Además el proyecto se encuentra enmarcado en el Plan de Desarrollo Municipal “HATO COROZAL ALTO Y
SOSTENIBLE 2020 - 2023”, Sector de Competencia: Transporte; Programa: HATO COROZAL ALTO Y
SOSTENIBLE CON MOVILIDAD PARA TODOS, cuyo Meta Resultado es Ampliar el porcentaje de vías en buen
estado del Municipio en un 10%, dentro de los cuales se encuentra como Meta Producto Construcción,
Mantenimiento y ampliación de vías urbanas y rurales en un total de 50 Kilómetros y Realizar la construcción de
obras de arte en vías municipales como alcantarillas, pontones y box coulvert en un total propuesto de 20
estructuras.
3. El proyecto se encuentra formulado en la Metodología General Ajustada (MGA).
4. Certificado de la Secretaría de Planeación y Política Sectorial que indique que el proyecto está incluido dentro
del Plan de Desarrollo Municipal HATO COROZAL ALTO Y SOSTENIBLE 2020-2023”.
5. Acuerdo No. PTA 200-02-003 del 30 de mayo de 2020 “Por medio del cual se adopta el Plan de Desarrollo del
Municipio de Hato Corozal, para el periodo 2020-2023 y se dictan otras disposiciones”.
6. Especificaciones Generales de Construcción de Carreteras, última actualización (2013) y Normas de Ensayo de
Materiales para Carreteras del INVIAS, adoptadas por resolución No. 1375 y No. 1376 del 26 de mayo de 2014
respectivamente y la CARTILLA DE OBRAS MENORES DE DRENAJE Y ESTRUCTURAS VIALES DEL
PROGRAMA COLOMBIA RURAL, que pueden ser consultadas en el vínculo de documentos técnicos de la página
http://www.invias.gov.co</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La ley 1551 de 2012 "Por la cual se dictan normas para modernizar la organización y el funcionamiento de los municipios", en el artículo 3 numeral 23 dice que, en Materia de vías, los municipios tendrán a su cargo la construcción y mantenimiento de vías urbanas y rurales del rango municipal. 
La Ley 715 de 2001 en el artículo 76.4.1. En materia de transporte, encontramos que es competencia del ente territorial “Construir y conservar la infraestructura municipal de transporte, las vías urbanas, suburbanas, veredales y aquellas que sean propiedad del municipio, las instalaciones portuarias, fluviales y marítimas, los aeropuertos y los terminales de transporte terrestre, en la medida que sean de su propiedad o cuando éstos le sean transferidos directa o indirectamente”.
Reglamento de Construcciones Sismo Resistentes NSR-10. 
Especificaciones generales de construcción de carreteras y normas de ensayo para materiales de carreteras INVIAS</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_X_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Teniendo en cuenta la naturaleza del objeto a contratar no se requiere de Licencias o permisos ambientales, esto debido a que se genera un impacto ambiental negativo igual a cero, por lo que de acuerdo con el Decreto 1220 por el cual se reglamenta el Título VIII de la Ley 99 de 1993 sobre licencias ambientales de abril 21 de 2005 la ejecución de cada una de las actividades propias del presente proyecto, no requiere autorización, permiso, licencia o concesiones ambientales.
Es importante resaltar que los materiales pétreos o de construcción a utilizar, deberán ser adquiridos en fuentes legalizadas ante Ingeominas y Corporinoquia, para lo cual el supervisor deberá velar por el estricto cumplimiento de lo mencionado.</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El valor del presupuesto oficial se ha calculado con base en los requerimientos técnicos del proyecto, con base en los precios de referencia de la Secretaria de Planeación y Política Sectorial de la Administración Municipal, la cual cuenta con la sistematización de la información en bases de datos bajo la plataforma Microsoft Acces, en CONSTRUPLAN NG versión 1.5 de LEGIS S.A – CONSTRUDATA, este contiene las diferentes actividades con sus rendimientos por ítem, su base de insumos se actualiza por medio de estudio de mercado local y grandes proveedores nacionales, costos de transporte y facilidad de adquisición.
El presupuesto se obtuvo de acuerdo a los precios de mercado que aplican para la región, considerando como variables los insumos, costos de insumos, transporte de insumos, rendimiento de insumos, rendimiento de la mano de obra, valor de la mano de obra, equipos y herramientas contemplado su desplazamiento, teniendo en cuenta las citadas variables, como se contemplaron los análisis de precios unitarios los cuales fueron multiplicados por la cantidad a ejecutar; los rendimientos y algunos insumos utilizados están basados en las actividades y precios establecidos en la base de datos de la Gobernación de Casanare. (Resolución 0072 del 04 de abril de 2022).
El presupuesto oficial fue elaborado por la secretaria de planeación y política sectorial, el valor total estimado comprende costos directos e indirectos, incluyendo los impuestos, tasas, contribuciones y demás costos inherentes a la obra, el cual se anexa en documento separado y hace parte integral del estudio previo.
El cálculo estimado para adelantar el proyecto objeto de este estudio previo es de VEINTISÉIS MILLONES QUINIENTOS SETENTA Y CUATRO MIL QUINIEN-TOS SETENTA Y OCHO PESOS M/CTE ($26.574.578), producto de las cantidades de obra por el valor unitario de cada una de las actividades consideradas, incluyendo los costos de mano de obra, equipo, transporte, así como de los costos causados por la Administración, los imprevistos y la utilidad (AIU 32%).
Ver Anexo: Presupuesto general y formularios de presupuesto.
El proponente deberá verificar previa a la presentación de la propuesta, las distancias posibles, fuentes de materiales en el área de influencia del proyecto; así como verificar que éstas se encuentran en funcionamiento y que cumplen con todos los requisitos legales, de tal forma que pueda garantizar la ejecución proyecto. En consecuencia las distancias de acarreo correspondientes deberán ser consideradas por el proponente en los análisis de precios unitarios de la propuesta a presentar, a continuación fuentes de materiales:
FUENTE DE LOS MATERIALES
Para la ejecución de las obras, los materiales pétreos utilizados serán transportados desde la fuente (rio o cantera) y zonas de extracción de material de arrastre MÁS CERCANA AL SITIO DE LA OBRA; que cuentan con sus respectivas licencias y permisos ambientales autorizados por la autoridad ambiental competente Ingeominas y Corporinoquia. Los materiales usados deben cumplir con los requerimientos y especificaciones según la norma NSR-10 y lo descrito en los documentos precontractuales, además deberán ser avalados, verificados y aprobados por el supervisor de la obra.
Las fuentes y distancias consideradas para la consecución de materiales en el Presupuesto, estas deberán ser verificadas y aprobadas por el supervisor de la obra:
Fuentes consideradas para la consecución de materiales en el presupuesto:
•Fuente: Cantera Hato Corozal
Ubicación: Finca Torquemada (6 km del casco urbano) vía a Puerto San Salvador. Cantera utilizada para la construccion de alcantarilla en la vereda berlin. 
Tipo de material: Piedra, afirmado, arena y material pétreo en general
via: nacional hato corozal - paz de ariporo, seguido por via terciaria casa - berlin - santa maria - matapalito - la chapa 
De acuerdo a lo anterior,  es importante tener en cuenta que las fuentes de materiales evaluadas y recomendadas en los estudios y diseños del presente proyecto, están sujetas a modificación cuando por alguna razón al momento de ejecutar las obras se llegase a presentar una fuente nueva que no pudo ser evaluada en su momento, que cumpla los parámetros técnicos establecidos por la normatividad vigente para ello y su distancia sea más corta a alguna de las fuentes recomendadas; o en su defecto que a la hora de iniciar los trabajos la fuente de materiales que se tomó como referencia no cuenta con los materiales pétreos o no cumple con la normatividad vigente; todo lo anterior deberá ser evaluado y avalado por el supervisor de la Obra con el objeto de velar por la correcta utilización y optimización de los recursos financieros asignados al proyecto.
Nota: Los materiales de arena, piedra, triturado, Material de rio sin seleccionar serán llevados de las fuentes antes mencionadas; si el contratista seleccionado tiene sus propias fuentes y no utiliza las que están referenciadas en este estudio previo, el Municipio de Hato Corozal no reconocerá el sobre acarreo o distancias mayores a las establecidas y el Contratista asumirá el costo del transporte o la distancia extra y el supervisor solo computara la distancia que se hayan definido los sitios respectivos y para los diferentes materiales.
A continuación se relacionan los impuestos, tasas o contribuciones que deben ser tenidos en cuenta al momento de estructurar la propuesta:
•	Estampilla Pro cultura correspondiente al 2,0% del valor total del contrato. 
•	Estampilla Pro deporte correspondiente al 2,0% del valor total del contrato. 
•	Estampilla Pro anciano correspondiente al 4,0% del valor total del contrato.</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La modalidad de selección corresponde a la establecida para la contratación cuyo valor no exceda el 10% de la menor cuantía, consagrada en el artículo 94 de la Ley 1474 de 2011 y lo establecido en el Decreto 1082 de 2015. De conformidad con las características particulares del presente proceso contractual, se determina que se trata de un contrato de prestación de servicios, cuya selección de proponentes se realizará a través de la modalidad de selección de mínima cuantía, cuyo valor no exceda el 10% de la menor cuantía establecida en el artículo 94 de la Ley 1474 de 2011 y lo establecido en el Decreto Único Reglamentario 1082 de 2015.
El proceso de selección, así como el contrato que llegare a suscribirse, están sometidos a la ley y jurisdicción Colombiana, el cual se rige por el régimen de contratación estatal, contenido en la Ley 80 de 1993, Ley 1150 de 2007, Decreto 1082 de 2015, Ley 1474 de 2011 y Decreto 019 de 2012, y demás normas civiles, comerciales aplicables a la materia, en conjunto con las reglas previstas en la invitación pública.
Ley 2022 de 2020 "Por la cual se modifica el artículo 4 de la Ley 1882 de 2018 y se dictan otras disposiciones" 
Resolución 625 del 16 de diciembre del 2022 "Por la cual se actualizan los documentos tipo para los procesos de obra pública de infraestructura de transporte que se adelanten por la modalidad de mínima cuantía y se deroga la Resolución 094 de 2020"</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 Ver invitación pública</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 Ver invitación pública</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EVALUACIÓN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PRECIO</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PUNTUACIÓN</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EVALUACIÓN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CALIDAD (PROPUESTA TÉCNICA)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PUNTUACIÓN</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De conformidad  con el artículo 4  de la Ley 1150 de 2007, el Municipio  relacionó  los riesgos  previsibles  involucrados  en la presente contratación, con el propósito de incluirlos  dentro de la ecuación contractual, asignando  directrices  para su tratamiento, al tenor  de lo previsto por el artículo 27 de la Ley 80  de 1993, según  el cual "En los contratos  estatales  se mantendrá  la igualdad  o equivalencia  entre derechos y obligaciones  al momento  de proponer o de contratar según el caso (...)
Por lo tanto, RIESGOS PREVISIBLES  son todas aquellas  circunstancias que de presentarse  durante  el desarrollo  y ejecución del contrato, tienen la potencialidad  de alterar el equilibrio financiero del mismo, siempre  que sean identificables y cuantificables  en condiciones normales.</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SALARIOS, PRESTACIONES SOCIALES E INDEMNIZACIONES</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CINCO (5%)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TRES (3) AÑOS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RESPONSABILIDAD CIVIL EXTRACONTRACTUAL</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DOS (2) AÑOS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CALIDAD DEL SERVICIO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ver anexo pliego de condiciones</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CONSTRUCCION DE UNA ALCANTARILLA SENCILLA EN TUBERIA DE CONCRETO REFORZADO DE DIAMETRO 36”, EN LA VIA DE LA VEREDA BERLIN,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Sector rural del municipio de Hato Corozal, en la vereda Berlín.
se anexa ubicación y descripción de obra a realizar en su respectiva vereda.</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El municipio pagara el cien por ciento (100%) del valor del contrato contra entrega, previa autorización del supervisor y  suscripción del acta de terminación, acta de liquidación y del recibo a satisfacción por parte del municipio, para lo cual requerirá que el contratista presente un informe final con el mismo contenido y alcance definido para los informes parciales, anexando además el paz y salvo de cada uno de los trabajadores por todo concepto, paz y salvo de las empresas de servicios públicos y demás que la administración crea convenientes, el comprobante de pago del impuesto de timbre correspondiente al valor total de las actas de ajuste definitivo del contrato (cuando a ello hubiere lugar) e igualmente los Comprobantes de pago en donde se demuestre el cumplimiento por parte del Contratista de sus obligaciones frente al Sistema de Seguridad Social Integral y parafiscales (Cajas de Compensación Familiar, Sena e ICBF).
PARÁGRAFO: El Municipio efectuará los descuentos de ley del orden Nacional, Departamental y municipal, según las normas vigentes, de acuerdo con la información tributaria suministrada por EL CONTRATISTA y con la actividad objeto del contrato.</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OBRA PÚBLICA</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Un  (1) MES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26.574.578,00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ANA FERNANDA SOTO DAZA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ANA FERNANDA SOTO DAZA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YEFERSON HUGO PEÑALOZA RIAY</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1115854422</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PLANEACIÓN Y POLÍTICA SECTORIAL</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2023-00131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