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0106 de Fecha 2022-07-14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0106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LEOPOLDO COCINERO CABALLERO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INGENIERO DE SISTEMAS A LA OFICINA ASESORA JURÍDICA EN EL CARGUE DE INFORMACION DE SECOP Y SIA OBSERVA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$16.224.999,00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 Y 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2022-07-14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KAREN JULIETH RINCON BETANCOURT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JEFE OFICINA ASESORA JURÍDICA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LEOPOLDO COCINERO CABALLERO, identificado(a) con cédula de ciudadanía 1115858649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0106 del 2022-07-14,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 Y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2022-07-14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Cinco (05) pagos mensuales e iguales por valor de DOS MILLONES NOVECIENTOS CINCUENTA MIL PESOS MC/TE. (2.950.000),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quince (15) días por valor de  UN MILLON CUATROCIENTOS SETENTA Y CUATRO MIL NOVECIENTOS NOVENTA Y NUEVE PESOS MC/TE. (1.474.999),una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$16.224.999,00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$16.224.999,00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$1.474.999,00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$1.474.999,00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$16.224.999,00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$16.224.999,00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$1.474.999,00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0106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2022-07-14.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Acta de terminación y liquidación anticipada por cumplimiento de objeto contractual.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LEOPOLDO COCINERO CABALLERO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KAREN JULIETH RINCON BETANCOURT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0106 de 2022-07-14 cuyo Objeto: PRESTAR LOS SERVICIOS PROFESIONALES COMO INGENIERO DE SISTEMAS A LA OFICINA ASESORA JURÍDICA EN EL CARGUE DE INFORMACION DE SECOP Y SIA OBSERVA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