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2023-03-27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Veintisiete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27)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YEFERSON ALEXANDER GARCIA RUBIANO, identificado(a) con cédula de ciudadanía 1006414511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0025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2023-01-19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GESTION COMO OPERADOR DE LA MOTO NIVELADORA CATERPILLAR 120G, EN EJECUCION DEL PROYECTO DEL SECTOR TRANSPORTE DEL MUNICIPIO DE HATO COROZAL, DEPARTAMENTO CASANARE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 –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2023-01-19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2023-05-18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2023-05-18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$9.680.000,00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$9.680.000,00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YEFERSON ALEXANDER GARCIA RUBIANO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$9.680.000,00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Veintisiete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27)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Marzo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YEFERSON ALEXANDER GARCIA RUBIANO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JEFERSSON NORBERTO NUÑEZ VALCÁRCEL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0025 de 2023-01-19 cuyo Objeto: PRESTAR LOS SERVICIOS DE APOYO A LA GESTION COMO OPERADOR DE LA MOTO NIVELADORA CATERPILLAR 120G, EN EJECUCION DEL PROYECTO DEL SECTOR TRANSPORTE DEL MUNICIPIO DE HATO COROZAL, DEPARTAMENTO CASANARE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