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CONSULTORÍA No. 0191 de Fecha 2022-10-07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HIDROLAB S.A.S INGENIERIA Y ANALISIS AMBIENTAL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EL AJUSTE Y ACTUALIZACIÓN DEL PLAN DE GESTIÓN INTEGRAL DE RESIDUOS SÓLIDOS - PGIRS DEL MUNICIPIO DE HATO COROZAL – CASANARE SEGÚN LO ESTABLECIDO EN LA RESOLUCIÓN 754 DE 2014 Y/O DEMÁS NORMAS QUE ADICIONE O SUSTITUYA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$75.000.000,00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2022-10-18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WILLIAM RICARDO VARGAS OJEDA, identificado(a) con cédula de ciudadanía 1018420018 de BOGOTÁ, representante legal de(l-la) HIDROLAB S.A.S INGENIERIA Y ANALISIS AMBIENTAL,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CONSULTORÍA No. 0191 del 2022-10-07,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2022-10-18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CONSULTORÍA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de Hato Corozal cancelara el valor pactado en el contrato de la siguiente forma: Hasta el 90% del valor total del contrato mediante actas parciales de acuerdo al avance del cumplimiento del objeto, previa autorización del supervisor y el saldo final del 10% del valor total del contrato a la suscripción del acta de terminación, acta de liquidación y del recibo a satisfacción por parte del municipio, para lo cual requerirá que el contratista presente un informe final con el mismo contenido y alcance definido para los informes parciales, anexando además el paz y salvo de cada uno de los trabajadores por todo concepto.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$75.000.000,00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$75.000.000,00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CONSULTORÍA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0191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2022-10-07.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WILLIAM RICARDO VARGAS OJEDA R/L HIDROLAB S.A.S INGENIERIA Y ANALISIS AMBIENTAL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CONSULTORÍA No. 0191 de 2022-10-07 cuyo Objeto: REALIZAR EL AJUSTE Y ACTUALIZACIÓN DEL PLAN DE GESTIÓN INTEGRAL DE RESIDUOS SÓLIDOS - PGIRS DEL MUNICIPIO DE HATO COROZAL – CASANARE SEGÚN LO ESTABLECIDO EN LA RESOLUCIÓN 754 DE 2014 Y/O DEMÁS NORMAS QUE ADICIONE O SUSTITUYA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