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CELEBRADO EN EJERCICIO DE LOS DERECHOS DE AUTOR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0069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CONTRATAR LOS SERVICIOS DE SOPORTE PARA EL MANTENIMIENTO Y FUNCIONAMIENTO DE LA PLATAFORMA CONTRACTVS EN LA ADMINISTRACIÓN MUNICIPAL HATO COROZAL ALTO Y SOSTENIBLE.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Cuatro  (4) MESES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Cuatro  (4) MESES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2023-02-13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2023-06-12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$24.000.000,00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ZULMA LISBETH VIVAS RODRIGUEZ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Catorce</w:t>
      </w:r>
      <w:r w:rsidR="00E71135" w:rsidRPr="00F20E46">
        <w:rPr>
          <w:rFonts w:ascii="Arial" w:hAnsi="Arial" w:cs="Arial"/>
          <w:sz w:val="18"/>
          <w:szCs w:val="18"/>
        </w:rPr>
        <w:t>(14) días del mes de Enero de 2023,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ZULMA LISBETH VIVAS RODRIGUEZ,  SECRETARIO(A) GENERAL Y DE GOBIERNO,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GABRIEL FERNANDO HOYOS VEGA, identificado(a) con cédula de ciudadanía 74849197 de OROCUE, representante legal de(l-la) SISOFT SOLUCIONES INFORMATICAS S.A.S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CELEBRADO EN EJERCICIO DE LOS DERECHOS DE AUTOR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Catorce(14) días del mes de Enero de 2023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CELEBRADO EN EJERCICIO DE LOS DERECHOS DE AUTOR.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Catorce(14) días del mes de Enero de 2023.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CELEBRADO EN EJERCICIO DE LOS DERECHOS DE AUTOR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CELEBRADO EN EJERCICIO DE LOS DERECHOS DE AUTOR.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Catorce(14) días del mes de Enero de 2023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/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GABRIEL FERNANDO HOYOS VEGA R/L SISOFT SOLUCIONES INFORMATICAS S.A.S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CELEBRADO EN EJERCICIO DE LOS DERECHOS DE AUTOR No. 0069 cuyo objeto es “CONTRATAR LOS SERVICIOS DE SOPORTE PARA EL MANTENIMIENTO Y FUNCIONAMIENTO DE LA PLATAFORMA CONTRACTVS EN LA ADMINISTRACIÓN MUNICIPAL HATO COROZAL ALTO Y SOSTENIBLE.”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