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Y FOMENTO A LAS EXPRESIONES ARTÍSTICAS Y CULTURALES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E41.2.3.2.02.02.009.3301126.2021851250010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ESTAMPILLA PROCULTURA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$10.120.000,00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POSICIONAR UN GRUPO DE INSTRUCTORES EN INSTRUMENTOS DE MÚSICA LLANERA, BELLAS ARTES Y BANDA MUNICIPAL, ENTRE OTRAS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actividades culturales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espacios culturales para el esparcimiento de los menores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Resaltando lo contemplado en la Constitución Política de 1991, acerca del deber que tienen las Entidades e Instituciones del Estado en trabajo mancomunado con las autoridades de la República de preservar la protección de las personas en su vida económica, social, administrativa, política y cultural; por ser un fin esencial del Estado. Es importante mencionar l reconocimiento y protección de la diversidad étnica y cultural, siendo garante de este derecho. (Constitución Política de 1991, artículo 2 y 7).
Por lo tanto y en miras de asegurar la diversidad cultural, se considera como deber del Estado la promoción y el fomento de todas diversas manifestaciones de cultura, promoviendo la educación; ya sea científica, técnica, artística y cultural, con el objetivo de preservar la identidad nacional. Además de reconocerlo bajo los principios de igualdad y dignidad de las personas que habitan el territorio. (Constitución Política de 1991, artículo 70).
Es por esto que, en concordancia con la Ley 397 de 1997 (Ley que desarrolla el objetivo de los artículos 70, 71 y 72 de la Constitución Política de 1991), se establecen marcos para la inclusión de acciones dentro del Plan de Desarrollo Nacional. 
Lo anterior, teniendo en cuenta que la cultura es un conjunto de características dispares, ya sean de tipo espiritual, material, intelectual y emocional que abarca las artes, letras, tradiciones y creencias de las personas; forjando las manifestaciones y el fundamento de la sociedad colombiana. (Ley 397 de 1997, artículo 1, numeral 1 y 2).
Es por esto que, por parte del Estado se impulsarán los procesos, proyectos, programas y actividades para exaltar la variedad cultural de la Nación. De la mano, fortalecerá la creación, ampliación y adecuación de acciones que garanticen el acceso de sus ciudadanos al conocimiento de la cultura. (Ley 397 de 1997, artículo 1).
Así entonces, insta a las Entidades Territoriales a incluir dentro de sus Planes de Desarrollo metas y actividades, además de recursos (los cuales deberán estar armonizados con el Plan de Desarrollo Nacional y los Planes Decenales de Cultura), para salvaguardar, conservar, recuperar, proteger y sostener las tradiciones culturales de las regiones. (Ley 397 de 1997, artículo 4).
Ahora bien, en razón a lo contemplado anteriormente, la Administración Municipal, en su Plan de Desarrollo “Hato Corozal Alto y Sostenible 2020-2023” consagró en su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Dando cumplimiento a lo preceptuado en la Ley 397 de 1997 y en la Constitución, donde insta a la inversión de recursos para el fortalecimiento de la cultura.
Es por esto y haciendo uso de las instalaciones propias del Municipio, para este caso de la Casa de la Cultura “Felix Delgado” se ha considera necesario fortalecer y posicionar un grupo de instructores de instrumentos de música llanera, bellas artes y de instrumentos de viento-banda, Con el objetivo de fomentar en la comunidad Hatocorozaleña aptitudes relacionadas a la interpretación de instrumentos musicales, buscando generar espacios para toda la comunidad, en especial para los niños, niñas, adolescentes y jóvenes que pretendan ocupar su tiempo libre en acciones que los beneficien y beneficien a la comunidad en general, aportando a resaltar cualidades del ser humano. Así entonces, se considera necesario contar con una persona con conocimientos y experiencia idónea que instruya a los menores y/o a la comunidad en que pretenda realizarse en el mundo de la música; enseñando ejercicios de sonido, escalas mayores y menores de los instrumentos de viento, notas musicales en el pentagrama con su armadura musical respectiva, apoyar procesos de ensamble de una banda sinfónica, aportar conocimientos de historia de los instrumentos de viento y demás actividades que busquen fomentar espacios de reconocimiento de la cultura nacional.
Por lo tanto y en miras de lograr el cumplimiento de las meta del Plan de Desarrollo Municipal, se han dispuesto recursos bajo el rubro No. E41.2.3.2.02.02.009.3301126.2021851250010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los servicios técnicos como instructor musical en la modalidad banda sinfónica, orientando al desarrollo de la práctica de nuevas expresiones musicales.
2.	Realizar talleres de aprendizaje con los diferentes grupos que se formen dependiendo de la categoría, en la Casa de la Cultura.
3.	Desarrollar actividades de enseñanza histórica y composición de los instrumentos que componen la banda sinfónica.
4.	Apoyar las actividades artísticas y culturales que realice la Administración Municipal para fomentar la cultura.
5.	Mantener actualizada la base de datos de las personas beneficiarias con el aprendizaje del instrumento.
6.	Las demás actividades inherentes al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Dando cumplimiento a lo preceptuado en la Ley 397 de 1997 y en la Constitución, donde insta a la inversión de recursos para el fortalecimiento de la cultura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
PERFILTÉCNICO CATEGORÍA 1, Cuyo rango de Honorarios va desde $2.420.000 a $2.640.000. En virtud de lo anterior, el presupuesto oficial para la presente contratación es como se detalla a continuación: 
Valor Mensual: Dos Millones Quinientos Treinta Mil Pesos M/Cte. ($2.530.000).
Valor Total del Contrato: Diez Millones Ciento Veinte Mil Pesos M/Cte. ($10.120.000)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TÉCNICOS COMO FORMADOR EN LOS INSTRUMENTOS DE VIENTO Y ASÍ CONFORMAR LA BANDA SINFÓNICA DEL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de la siguiente forma: Tres (03)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Quinientos Treinta Mil Pesos M/Cte. ($2.530.000),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10.120.000,00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2023-00052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