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COMO TUTOR E INSTRUCTOR DE GUITARRA Y TÉCNICA VOCAL DE LAS PERSONAS QUE SE QUIERAN BENEFICIAR CON LOS SERVICIOS QUE GARANTIZA LA CASA DE LA CULTURA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HELMAN CRUZ MORENO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4153483-5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$7.832.000,00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HELMAN CRUZ MORENO, identificado(a) con cédula de ciudadanía 4153483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0055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$7.832.000,00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$7.832.000,00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HELMAN CRUZ MORENO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