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OLNEIDER DIAZ MAYORGA, identificado(a) con cédula de ciudadanía 1118649972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...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