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110-3</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$19.800.000,00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acciones encaminadas al aprovechamiento del tiempo libre de los niños, niñas y adolescentes, en el campo deportivo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el servicio a la comunidad, debe ser una de las obligaciones con la comunidad, puesto que se debe garantizar el cumplimiento de los derechos y deberes constitucionales. (Constitución Política de 1991, artículo 2).
Según los derechos sociales, económicos y culturales consagrados en el Capítulo II de la Constitución Política de 1991, los niños, niñas, adolescentes y jóvenes tienen derecho a gozar de la recreación y educación y el Estado es garante de velar por el cumplimiento de los derechos y libertades. (Constitución Política de 1991, artículo 44 y 45).
Asimismo, debe garantizar todas las manifestaciones del ejercicio del deporte, actividades recreativas, competitivas y autóctonas, que busquen la formación integral de las personas, además de preservar y desarrollar estilos de vida saludable en las personas. (Constitución Política de 1991, artículo 52).
Adicionalmente, “Se reconoce el derecho de todas las personas a la recreación, a la práctica del deporte y al aprovechamiento del tiempo libre.
El Estado fomentará estas actividades e inspeccionará, vigilará y controlará las organizaciones deportivas y recreativas cuya estructura y propiedad deberán ser democráticas.” (Constitución Política de 1991, artículo 52).
En miras de acatar lo dispuesto en el artículo 52 de la Constitución Política de 1991, “…”se dictan disposiciones para el fomento del deporte, la recreación, el aprovechamiento del tiempo libre y la Educación Física y se crea el Sistema Nacional del Deporte.” (Ley 181 de 1995).
Su objetivo principal es: 
“…” el patrocinio, el fomento, la masificación, la divulgación, la planificación, la coordinación, la ejecución y el asesoramiento de la práctica del deporte, la recreación y el aprovechamiento del tiempo libre y la promoción de la educación extraescolar de la niñez y la juventud en todos los niveles y estamentos sociales del país, en desarrollo del derecho de todas las personas a ejercitar el libre acceso a una formación física y espiritual adecuadas. Así mismo, la implantación y fomento de la educación física para contribuir a la formación integral de la persona en todas sus edades y facilitarle el cumplimiento eficaz de sus obligaciones como miembro de la sociedad. (Ley 181 de 1995, artículo 1).
Dentro del articulado de la mencionada Ley, se consagran como objetivos del Estado la formulación y ejecución de programas de educación física, deporte y la recreación de todas las personas, incluyendo las que tengan discapacidades físicas, psíquicas y sensoriales; así como los adultos mayores y en general todos los sectores sociales que se consideren más necesitados. Asimismo, difundir el conocimiento del deporte y la recreación, con el fomento de escuelas deportivas para la formación y el perfeccionamiento de los deportes. (Ley 181 de 1995, artículo 3).
Adicionalmente, se insta a las Entidades públicas y privadas a ejecutar programas, proyectos y actividades de recreación, aportando recursos para financiar este tipo de práctica. (Ley 181 de 1995, artículo 5). De igual forma, a nivel departamental y municipal se crean programas necesarios para lograr el cumplimiento de los objetivos de la Ley de Educación General. (Ley 181 de 1995, artículo 14).
El Municipio de Hato Corozal viene desempeñando acciones de fortalecimiento a la cultura del deporte y la recreación dirigido a sus habitantes; es por esto que cuenta con Catorce (14) espacios y escenarios deportivos donde se pueda llevar a cabo actividades deportivas. De esta forma, se ha hecho necesario la creación de escuelas deportivas para que los menores puedan acceder de forma gratuita a los deportes y que estos cuenten con entrenadores deportivos calificados; de esta forma sembrar y generar en los niños, niñas y adolescentes la participación en festivales escolares y campeonatos intercolegiados; además de los valores como la disciplina, respeto, integridad, igualdad, justicia, entre otros; así como, estilos de vida saludable, aportando al desarrollo en su salud y en el desarrollo integral.  
Así entonces, se considera necesario contar con el personal idóneo y preparado para ejecutar estas acciones, buscando orientas a los menores en la práctica de las diferentes disciplinas deportivas en los espacios con los que cuenta para la práctica del deporte. Igualmente, se fortalecerá las escuelas deportivas gratuitas. Además, un profesional que pueda desarrollar actividades como referente deportivo, que apoye la coordinación de eventos deportivos, en el área urbana y rural del Municipio y diseño de encuentros deportivos de carácter regional.
Lo anterior, de conformidad a lo establecido en el Plan de Desarrollo Municipal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Es oportuna la presente contratación, teniendo en cuenta que el Municipio cuenta con la disponibilidad presupuestal en el Rubro No. E31.2.3.2.02.02.009.4301037.2020851250010,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Contratación de referente para apoyar las actividades deportivas y recreativas en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la supervisión de los procesos deportivos de formación integral gratuita, liderados por la Administración Municipal.
2.	Brindar apoyo a la Secretaría de Desarrollo en la dirección de una estrategia para la promoción, difusión y práctica del deporte, la recreación y la actividad física de la comunidad Hatocorozaleña.
3.	Guiar la promoción de actividades en el ejercicio del deporte, la recreación, la actividad física y el aprovechamiento del tiempo libre de la población con enfoque diferencial del municipio. 
4.	Mantener un proceso de enseñanza de los niños, niñas, adolescentes y jóvenes del municipio de Hato Corozal - Casanare en al entrenamiento deportivo, para consolidar y afianzar los procesos de enseñanza,
5.	Brindar apoyo para fortalecer los procesos de enseñanza de la educación física, la práctica del deporte, la recreación y el aprovechamiento del tiempo libre de los habitantes del Municipio.  
6.	Realizar acciones para la formación en valores humanos, que permitan reflexionar, fortalecer y generar una actitud de conciencia para una vida de respeto y sana convivencia, los niños, niñas, adolescentes y jóvenes del municipio. 
7.	Realizar la elaboración y entrega de informes solicitados de acuerdo con las actividades propias del objeto en medio físico y magnético.
8.	Elaborar informe de resultado de las metas del cuatrienio, del Plan de Desarrollo Municipal 2020-2023 en medio físico y magnético.
9.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Trescientos Mil Pesos M/Cte. ($ 3.300.000).
Valor Total del Contrato: Diecinueve Millones Ochocientos Mil Pesos M/Cte. ($19.800.000).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REFERENTE DE LAS ÁREAS DEPORTE Y RECREACIÓN PARA LA EJECUCIÓN DE LAS METAS Y PROYECTOS DESARROLLADOS POR PARTE DE LA ADMINISTRACIÓN MUNICIPAL HATO COROZAL ALTO Y SOSTENIBLE 2020-2023.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Actas parciales por valor de Tres Millones Trescientos Pesos M/Cte. ($ 3.300.000),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Tres Millones Trescientos Pesos M/Cte. ($ 3.300.000)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