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GENERAL Y DE GOBIERNO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2023-06-27</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Construcción , Mantenimiento, Dotación y Adecuación de los Elementos que Conforman el Espacio Público, Con el Propósito de ser Áreas de Integración Social donde se facilite el Acceso a la Comunidad en general del Municipio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2020851250005</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H31.2.3.2.02.02.009.4599016.2020851250005</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LI</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$7.200.000,00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REALIZAR CONSTRUCCIÓN, MANTENIMIENTO Y ADECUACIÓN DE LA INFRAESTRUCTURA DE USO PÚBLICO DEL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Espacio publico adecuado</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Realización de actividades que propendan el cumplimiento al Plan de Saneamiento del cementerio municipal de Hato Corozal Casanare, de conformidad a la normalidad actual vigente.
lo anterior, con el objetivo de dar cumplimiento a los preceptos consagrados en la Ley 1952 de 2019 Articulo 38 N°23, donde se requiere conservar los equipos, muebles y bienes que sean de propiedad o que se encuentren bajo la supervisión del Municipio de Hato Corozal.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12108 Habitantes población proyectada a junio 30 de 2020, para el municipio de Hato Corozal, del Departamento de Casanare, fuente del fuente Departamento Administrativo Nacional de Estadística-DANE.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La Administración Municipal “Hato Corozal Alto y Sostenible 2020-2023”, en cumplimiento con los preceptos constitucionales, considera necesario que el Municipio como entidad fundamental de la división político-administrativa, deberá prestar los servicios públicos que determine la Ley, construir obras que demanden el progreso local, y dar cumplimiento a las demás funciones que sean asignadas por la Ley y la Constitución. (Constitución Política de 1991).
Ley 1952 de 2019:
“Articulo 38 Deberes. Son deberes de todo servidor público:
“Numeral 6. Custodiar y cuidar la documentación e información que por razón de su empleo, cargo o función conserve bajo su cuidado o a la cual tenga acceso, e impedir o evitar la sustracción, destrucción, ocultamiento o utilización indebidos.”
“Numeral 23 Responder por la conservación de los útiles, equipos, muebles y bienes confiados a su guarda o administración y rendir cuenta oportuna de su utilización.
Por lo tanto, para la Administración Municipal con el fin de dar cumplimiento al Plan de Saneamiento del cementerio local del municipio de Hato Corozal Casanare, requiere contratar un apoyo para adelantar las acciones para prevenir, corregir y mitigar impactos ambientales negativos dentro del cementerio.
 “La Secretaria General y de Gobierno será la responsable de la administración del cementerio para el cual reglamentará el artículo anterior”. De esta forma será necesario que la administración Municipal se encargue de velar por el cuidado y mantenimiento de la infraestructura del cementerio para mantener un orden en sus instalaciones. 
Para brindar cumplimiento a la Constitución Política de 1991, la Administración Municipal ve la necesidad de prestar los servicios de limpieza, administración y cuidado del cementerio del Municipio, para mantener el inmueble en perfecto estado, que el funcionamiento no se vea interrumpido.
Así entonces es necesario contar con los servicios de una persona que realice labores asistenciales de limpieza, administración y cuidado de las instalaciones del cementerio Municipal y de la morgue del municipio de Hato Corozal,  para brindar atención a los inmuebles que tiene a cargo la Administración permaneciendo siempre en condiciones adecuadas en temas de higiene, administración, mantenimiento y arreglo del cementerio y de la morgue, con el fin de prestar un  buen servicio a la población del Municipio,
Por tanto, será necesario que el asistencial este a cargo del cumplimiento del  la distribución ordenada de las bóvedas, de la limpieza, arreglos y administración del cementerio, además estar al tanto y al pendiente de las inhumaciones y exhumaciones que sean requeridas. 
De acuerdo a lo anterior y teniendo en cuenta la necesidad planteada y verificando que no existe personal suficiente en la entidad para realizar la ejecución de dicha actividad, la Administración Municipal considera necesario contar con los servicios de una persona natural que se encargue de la administración, limpieza y embellecimiento del cementerio y cumplimiento al Plan de Saneamiento del cementerio del municipio de Hato Corozal Casanare.
Existe la disponibilidad presupuestal en el Rubro N° H31.2.3.2.02.02.009.4599016.2020851250005 Servicios para la comunidad, sociales y personales cuya fuente es SGP LI.
Que la necesidad que se plantea en el presente estudio previo, el Plan Anual de Adquisiciones para la vigencia 2023, conforme a lo establecido en el Decreto 1082 del 26 de mayo de 2015 (artículo 2.2.1.1.1.4.1), por el cual se reglamenta el sistema de compras y contratación pública, expedido por el Departamento Nacional de Planeación. Que el proceso contractual en sus formas y procedimientos se ajusta al Manual de Contratación del municipio de Paz de Ariporo.</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especifico de funciones, competencias laborales y requisitos a nivel de cargos del municipio de Hato Coroza-l Casanare, así como lo establecido en la Ley 80 del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General y de Gobierno,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La Secretaría General y de Gobierno requiere contar con los servicios de una persona natural que realice actividades en cumplimiento al plan de Saneamiento del cementerio del municipio Hato Corozal Casanare</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Brindar apoyo a la administración municipal en las actividades tendientes al cumplimiento del Plan de Saneamiento del Cementerio municipal de Hato Corozal Casanare.
2.	Brindar apoyo en la coordinación de jornadas de limpieza y desinfección de las áreas que lo requieran,
3.	Realizar apoyo en el cumplimiento del programa de control de vectores plaga.
4.	Apoyar a la administración en la implementación de programa de residuos sólidos.
5.	En cumplimiento al plan de saneamiento apoyar a la administración en la limpieza del cementerio, almacenamiento de los residuos y basuras de este lugar.
6.	Realizar la elaboración y entrega de los informes de gestión solicitados de acuerdo a las actividades propias del contrato.
7.	Las demás actividades que sean inherentes al objeto contractual.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La persona a contratar no debe encontrar incursa en ninguna de las causales de inhabilidad e incompatibilidad para contratar, consagradas en la constitución y la ley y que cumpla con los requisitos establecidos en el presente estudio previo. 
El contratista deberá cumplir los siguientes requerimientos: 
1. Ejecutar idónea y oportunamente el objeto del contrato.
2. Desarrollar las actividades establecidas en las cláusulas del contrato. 
3. Garantizar la calidad y eficiencia en el servicio contratado.
4. Obrar con lealtad y buena fe en las distintas etapas contractuales.
5. Avisar oportunamente al Municipio de las situaciones previsibles que puedan afectar el equilibrio financiero del contrato. 
6. Atender las observaciones de quien ejerce la supervisión del contrato.
7. Presentar los informes específicos o extraordinario cuando le sean solicitados por el supervisor. 
8. En caso de que el Municipio le facilite algún elemento para el desarrollo del objeto contractual, deberá devolverlo en buen estado a la finalización del contrato. 
9. Cumplir con todas las obligaciones derivadas de los estudios previos, del presente contrato.
 PERFIL Se requiere de una persona natural que cuente con una experiencia laboral de Dos (02) años a fin al desempeño de sus actividades.</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Plan de Desarrollo ;Hato Corozal Alto y Sostenible 2020-2023;</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La Secretaría General y de Gobierno requiere contratar una persona natural, que cumpla con lo establecido en el Decreto Municipal No. 100.13.048 del 17 de Mayo de 2022, Por medio del cual se fija la escala de honorarios de contratos de prestación de servicios profesionales y de apoyo a la gestión en el municipio de Hato Corozal, Casanare, se determina que el presupuesto oficial para el proceso contractual que se plantea celebrar como resultado de este estudio previo, se estructura con base en el artículo segundo del mencionado Decreto, el cual dice:
HABILIDADES ESPECIFICAS CATEGORIA 3 RANGO DE HONORARIOS. En virtud de lo anterior, el presupuesto oficial para la presente contratación es como se detalla a continuación:
Valor Mensual: Un Millón cuatrocientos cuarenta Mil Pesos M/Cte. ($1.440.000)
Valor Contrato: Siete millones doscientos mil Pesos M/Cte. ($7.200.000)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Para la ejecución del objeto contractual según el artículo primero del Decreto Municipal No. 100.13.048 del 17 de Mayo de 2022, Por medio del cual se fija la escala de honorarios de contratos de prestación de servicios profesionales y de apoyo a la gestión en el municipio de Hato Corozal, Casanare,de Honorarios, se requiere  de una persona natural con PERFIL HABILIDADES ESPECIFICAS  (CATEGORÍA 3) y  dos (2) año afin al desempeño de sus actividades..</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BRINDAR APOYO A LA GESTIÓN EN CUMPLIMIENTO AL PLAN BÁSICO DEL CEMENTERIO EN EJECUCIÓN AL PROYECTO DE EQUIPAMIENTO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El pago del presente contrato se realizará mediante: Cuatro (04) mensualidades vencidas a razón de un millón cuatrocientos cuarenta mil pesos M/Cte. ($1.440.000), previa presentación del informe de actividades y comprobante de pago de seguridad social con visto bueno del supervisor del contrato y un último pago por el valor de millón cuatrocientos cuarenta mil pesos M/Cte. ($1.440.000), previa presentación del informe final y suscripción del acta de terminación y liquidación, comprobante de pago de seguridad social la que debe contar con la aprobación del supervisor designado.</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Cinco  (5)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7.200.000,00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DOLFENDY LISNETH VIVAS RODRIGUEZ</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1118532569</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ZULMA LISBETH VIVAS RODRIGUEZ</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1118649173</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GENERAL Y DE GOBIERNO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ZULMA LISBETH VIVAS RODRIGUEZ</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GENERAL Y DE GOBIERNO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VICENTE CARDENAS DURAN</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2023-00215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