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2023-02-14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E211.2.3.2.02.02.009.4103052.2021851250007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$19.996.240,00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UNA REUNIÓN DE DIÁLOGO Y CONCERTACIÓN CON COMUNIDADES INDÍGENAS DEL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gestión de oferta social para la población vulnerable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Garantizar apoyo logístico para llevar a cabo mesa de concertación en el Resguardo Indígena de Caño Mochuelo y así poder acatar los dispuesto en el artículo 5 del Auto 098-2020.</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2200 Población del Resguardo Indígena de Caño Mochuelo, jurisdicción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5</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preceptos constitucionales,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Asimismo, dentro de los fines esenciales, se encuentra consagrado el servicio a la comunidad, además de promover y garantizar el cumplimiento de los principios, derechos y libertades de la Constitución. Además, en trabajo conjunto con las autoridades de la República, estos deberán velar por la protección de las personas, en su ámbito económico, administrativo, político y cultural. (Constitución Política de 1991, artículo 2).
Dentro de los principios fundamentales, se insta al Estado a reconocer y proteger la diversidad étnica y cultural de la nación. (Constitución Política de 1991, artículo 7). Por lo tanto, debe existir un trato igualitario hacia todas las personas; las cuales gozarán de los mismos derechos, libertades y oportunidades, sin generar discriminación alguna, ya sea por sexo, raza, origen, lengua, religión, opinión política y/o filosófica. (Constitución Política de 1991, artículo 13).
En cuestiones de cumplir con los fines esenciales del Estado, es perentorio mencionar que la función administrativa debe estar al servicio de los intereses generales, sobre los particulares. Por lo tanto, su accionar debe ejecutarse en cumplimiento de los principios de “…” igualdad, moralidad, eficacia, economía, celeridad, imparcialidad y publicidad “…” (Constitución Política de 1991, artículo 209). 
En relación a las funciones de los Municipios, estos deberán elaborar los planes de desarrollo incluyendo los panes de vida de los resguardos indígenas; con el objetivo de incorporar las visiones de las minorías étnicas. (Constitución Política de 1991, artículo 6, numeral 2).  
Ahora bien, el Estado Colombiano en miras de acatar los preceptos Constitucionales, bajo la Ley 21 de 1991 aprueba el Convenio No. 169 sobre pueblos indígenas y tribales en países independientes, adoptado por la 76ª. Reunión de la Conferencia General de la O.I.T. Ginebra 1989. Teniendo en cuenta que los pueblos indígenas y tribales ha aportado a la diversidad cultural, a la armonía social y ecológica de la humanidad. (Ley 21 de 1991).
Es por esto que, 
1. Los pueblos indígenas y tribales deberán gozar plenamente de los derechos humanos y libertades fundamentales, sin obstáculos ni discriminación.
Las disposiciones de este Convenio se aplicarán sin discriminación a los hombres y mujeres de esos pueblos.
2. No deberá emplearse ninguna forma de fuerza o de coerción que viole los derechos humanos y las libertades fundamentales de los pueblos interesados, incluidos los derechos contenidos en el presente Convenio. (Ley 21 de 1991, artículo 3).
Para el caso del Municipio de Hato Corozal, éste cuenta con Dos (02) Resguardo Indígenas: Chaparral y Barro Negro, el cual cuenta con la comunidad Ewá y el Resguardo de Caño Mochuelo, que cuenta con las comunidades de: Sikuani, Wamonae y Sáliba.
Para el caso en concreto, la Unidad Administrativa Especial de Gestión de Restitución de Tierras Despojadas-Territorial Meta, quien fungió en nombre y representación del Resguardo indígena de Caño Mochuelo, medidas cautelares ante el Juzgado Civil del Circuito Especializado en Restitución de Tierras del Distrito Judicial de Cundinamarca. Su objetivo principal era la protección colectiva del territorio, en ámbitos como: autodeterminación y gobierno propio; uso, ocupación y disfrute del territorio y de los recursos naturales; salud, seguridad alimentaria y niños, niñas y adolescentes. Los fundamentos de la solicitud se basaron en la secuencia de actos violatorios a los derechos constitucionales y Derecho Internacional Humanitario. Razón por la cual, resuelve admitir las medidas cautelares elevada por parte de la Dirección Territorial y ordenar a varias Entidades e Instituciones a realizar acciones, de forma mancomunada, para restablecer los derechos violentados. De esta forma, se ordena al Ministerio de Agricultura y Desarrollo Rural; Gobernación de Casanare; Alcaldías de Paz de Ariporo y Hato Corozal; Instituto Colombiano de Bienestar Familiar-ICBF; Departamento para la Prosperidad Social-DPS; Unidad Administrativa Especial para la Atención y Reparación Integral a las Víctimas-UARIV y a la Agencia de Desarrollo Rural-ADR. Su fin principal es realizar mesas de concertación con las comunidades del Resguardo Indígena de Caño Mochuelo, para así adelantar acciones, planes, programas y proyectos donde se beneficien las comunidades y se puedan restablecer los derechos vulnerados. 
La Administración Municipal en conjunto con todas las Entidades han venido desarrollando mesas de concertación entre ellos y con las comunidades indígenas, de esta forma, aportar recursos para la financiación de actividades. En Acta No. 001 del 19 de enero de 2023 se realizó reunión para el seguimiento de las órdenes judiciales en razón al Auto de Sustanciación No. 994 de 22-09-2022; el Municipio de Hato Corozal manifestó que había realizado la entrega de paquetes nutricionales a 100 adultos mayores del Resguardo Indígena de Caño Mochuelo. Además, de disponer de recursos ($100.000.000), para concertar con las comunidades para financiar seguridad alimentaria. Por último, se fija como fecha para realizar mesa de concertación con las comunidades del Resguardo, los días 24 al 27 de febrero de 2023, en la comunidad de Getsemaní. 
Para el desarrollo de la mesa de dialogo y concertación con las comunidades del Resguardo Indígena de Caño Mochuelo se requiere contar con transporte terrestre y hospedaje para los funcionarios de la Alcaldía Municipal, además de almuerzos para el día que se desarrollará la reunión con todas las comunidades (almuerzo para los funcionarios y para las personas integrantes de las diferentes comunidades), un sonido, puesto que el objeto de la mesa es conocer las necesidades en seguridad alimentaria de los habitantes y estos escucharan las medidas que se pretenderan implementar por parte de las Entidades e Instituciones que hacen parte del Auto No. 098-2020.
De tal forma, ha considerado la Administración Municipal contratar los servicios de logística para llevar a cabo la mesa de concertación el día 24 de febrero de 2023 en la comunidad de Getsemaní, donde se contará con el acompañamiento de la Registraduria Nacional (2 funcionarios), y las demás entidades que hacen parte del auto en lo ordenado por parte del Juzgado. 
Dentro de lo que se ha considerado adquirir, se encuentra transporte terrestre, haciendo énfasis en este ítem, el recorrido desde el casco urbano del Municipio de Hato Corozal hasta el Resguardo Indígena de Caño Mochuelo es de difícil acceso, lo que hace que el valor de ese transporte sea mas costoso. Raciones alimentarias para los asistentes a la mesa, agua para consumo humano y sonido. De esta forma, se podrá prestar las mejores condiciones para que las comunidades y las Entidades e Instituciones puedan concertar las acciones y/o actividades que se van a desarrollar e invertir y de esta forma restablecer los derechos que se han venido vulnerando.
Es conveniente adelantar la presente contratación, teniendo en cuenta que se logrará continuar con las mesas de trabajo, las cuales son productivas para las comunidades y las Entidades e Instituciones, en miras de acatar los preceptos constitucionales y las disposiciones judiciales. Asimismo, se encuentra consagrado en el Plan de Desarrollo “Hato Corozal Alto y Sostenible 2020-2023” Línea Estratégica No. 1 “Hato Corozal Semillero de Proyectos para el Desarrollo y la Inclusión Social” Programa: apoyo y fortalecimiento comunidades indígenas; Meta Resultado: Comunidad indígena con mejores condiciones de supervivencia; Meta Producto 1: Realizar una intervención en tema educación, salud, seguridad alimentaria, recreativo y cultural en los dos resguardos indígenas. 
La Administración Municipal en miras de abordar las acciones en el Resguardo, dispuso de una disponibilidad presupuestal en el Rubro No. E211.2.3.2.02.02.009.4103052.2021851250007, cuyo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de Desarrollo Social, Integral y Productivo, en miras de garantizar el cumplimiento de los derechos fundamentales de los habitantes del Resguardo de Caño Mochuelo, consideran necesario la realización de mesa de concertación, por lo tanto, se requiere la logística para llevar a cabo.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el servicio de transporte terrestre para garantizar el desplazamiento del personal de la Alcaldía Municipal y de los funcionarios de la Registraduría Nacional. (Dos (02) vehículo tipo camioneta pick up 4X4 por el plazo de Cuatro (04) días, a todo costo; para el recorrido desde el Municipio de Hato Corozal hasta el Resguardo Indígena de Caño Mochuelo, jurisdicción del Municipio de Hato Corozal. Los vehículos deberán contar con su conductor, seguros, pólizas y toda la documentación al día).
2.	Suministro de Seiscientos Veintiséis (626) raciones alimentarias compuesta por: Proteína (carne-pollo-cerdo-huevos) 200gr; Cereal (arroz-lentejas-garbanzo-frijol-etc.) 110 gr; Verduras (ensaladas variadas) 100 gr; Tubérculo (papa-yuca-plátano); Bebida (jugo tetra-pack) 330 ml; Empaque icopor; Juego cubiertos plásticos; Servilletas.
3.	Garantiza el servicio de alojamiento para Ocho (08) personas por Dos (02) noches, en el Municipio de Cravo Norte-Arauca.
4.	Garantizar el servicio de Un (01) sonido de amplificación, compuesto por una consola amplificación, dos cabinas de amplificación de 1,000 Watts, con dos micrófonos. Todo completamente instalado, en la comunidad de Getsemaní del Resguardo Indígena de Caño Mochuelo, Jurisdicción Municipio de Hato Corozal.
5.	Garantizar el suministro de Setecientos (700) bolsas de agua de 350 mil para el desarrollo de cada una de las actividades.
6.	Atender los requerimientos del supervisor.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90101501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20102301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80131500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80131504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Programa: apoyo y fortalecimiento comunidades indígenas.
Meta Resultado: Comunidad indígena con mejores condiciones de supervivencia.
Meta Producto 3: Realizar una reunión de diálogo y concertación con comunidades indígenas del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 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enero se solicitaron  y recibieron Tres (03) cotizaciones de: Jarlinthon Pompilio Benítez Neira, WyL S.A.S. Inversiones, y CONCAPROC S.A.S.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Diecinueve Millones Novecientos Noventa y Seis Mil Doscientos Cuarenta Pesos M/Cte. ($19.996.240), con recursos del presupuesto municipal de la vigencia fiscal 2023, provenientes de la fuente: 420 SGP LIBRE INVERSIÓN.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
El valor del presupuesto incluye todos los costos y gastos a lo que haya lugar para la descripción de contratos con el Municipio de Hato Corozal  y los demás que se derivan del cumplimiento de las obligaciones contractuales (Gastos administrativos, operativos, impuestos, tasas contribuciones, utilidad ect).</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Constitución Política de 1991,
ARTÍCULO 7. El Estado reconoce y protege la diversidad étnica y cultural de la Nación colombiana.
LEY 21 DE 1991;Por medio de la cual se aprueba el Convenio número 169 sobre pueblos indígenas y tribales en países independientes, adoptado por la 76a. reunión de la Conferencia General de la O.I.T., Ginebra 1989.
LEY 1381 DE 2010
Por la cual se desarrollan los artículos 7°, 8°, 10 y 70 de la Constitución Política, y los artículos 4°, 5° y 28 de la Ley 21 de 1991 (que aprueba el Convenio 169 de la OIT sobre pueblos indígenas y tribales), y se dictan normas sobre reconocimiento, fomento, protección, uso, preservación y fortalecimiento de las lenguas de los grupos étnicos de Colombia y sobre sus derechos lingüísticos y los de sus hablantes.</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GARANTIZAR LA LOGÍSTICA PARA REALIZACIÓN DE UNA MESA DE DIALOGO Y CONCERTACIÓN CON LAS COMUNIDADES DEL RESGUARDO INDÍGENA DE CAÑO MOCHUELO Y LAS ENTIDADES INSTITUCIONES QUE SE ENCUENTRAN INCLUIDAS DENTRO DE LO ORDENADO POR EL AUTO No. 098 de 2020.</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el 100% del valor del contrato, previa presentación de informe de actividades y presentación de factura legal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19.996.240,00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