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2022-03-30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2-39-IST/2.3.2.02.02.005.240204101.2020851250017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GENERAL-PROPOSITO GENERAL LIBRE INVERSION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$122.004.500,00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2-39-IST/2.3.2.02.02.005.240211403.2020851250017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IMPUESTO DE TRANSPORTE POR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$7.995.492,00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Construcción de obras de drenaje (boxculvert, alcantarilla doble y alcantarilla sencilla) en las vías rurales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6687 Habitantes de la zona rural del Municipio de Hato Corozal que residen de manera permanente en veredas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El municipio de hato corozal, es uno de los municipios de Casanare, con mayor problema de transitabilidad entre las comunidades del sector rural y el casco urbano del municipio; lo cual, conlleva a que las comunidades presenten unos altos niveles de atraso en los principales indicadores de calidad de vida; la causa principal es la falta de infraestructura vial en el sector rural, afectando el desarrollo agropecuario.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que deben ser garantizados por el estado y en este caso por el Municipio de Hato Corozal.
El municipio de Hato Corozal, como ente territorial, de conformidad con lo previsto en el Artículo 311 de la Constitución Política de Colombia, tiene como fin primordial prestar los servicios públicos que determine la Ley, construir las obras que demande el progreso local, ordenar el desarrollo del territorio, promover la participación comunitaria, el mejoramiento social y cultural de sus habitantes y cumplir las demás funciones que le asigne la Constitución y la Ley. Dentro del Plan de desarrollo “2020-2023 Hato Corozal Alto Y Sostenible” LÍNEA ESTRATÉGICA 2: HATO COROZAL ALTO Y SOSTENIBLE CON GENERACIÓN DE EMPLEO, INFRAESTRUCTURA Y VIVIENDA, sector de competencia: TRANSPORTE, programa HATO COROZAL ALTO Y SOSTENIBLE CON MOVILIDAD PARA TODOS, para brindar unas buenas condiciones de acceso y transitabilidad a los diferentes lugares a los habitantes del municipio, y en particular en el área rural, proporcionando a la comunidad un desarrollo humano integral y sostenible que contribuya a mejorar su calidad de vida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La secretaria de Planeación y Política Sectorial del municipio de Hato Corozal, es la encargada de liderar la política de Infraestructura en el Municipio, promoviendo la realización de obras de interés para el desarrollo del municipio en general; uno de los campos de acción es propender por la conservación, mejoramiento y construcción de la red vial del municipio y demás obras físicas plasmadas en el plan de desarrollo, así como, apoyar la acción municipal en sus propios procesos de desarrollo de infraestructura. Esta secretaria realiza la evaluación de necesidades en infraestructura vial y tiene como deber identificar, evaluar y cuantificar técnicamente la magnitud del problema en infraestructura, para de esta manera proyectar la solución técnica más adecuada a cada una de las situaciones presentadas y manifestadas por la comunidad, buscando dar cumplimiento a las metas proyectadas en el Plan de Desarrollo Municipal.
En atención a lo explicado anteriormente la presente dependencia realizó visita técnica y recorrido o track, mediante el cual identificó diferentes puntos donde es necesaria la intervención con obras de arte por parte de la administración municipal, a la vía que conduce de la vereda el Altagracia sector el Hipi y via la chapa - matapalito del municipio de Hato Corozal, estás vías actualmente cuenta con una bancada en material pétreo para Altagracia y local para la vereda la chapa que permite la transitabilidad de vehículos livianos, sin embargo en época de invierno se ve afectada por la falta de alcantarillas y boxculvert que permitan el paso de aguas de escorrentías naturales, afluentes pequeños que se generan en esta estación y en ocasiones comunicación de zonas planas que contienen agua y un drenaje imperfecto. 
Con la información recolectada la via de Altagracia es de gran necesidad para la comunidad es la única via de acceso que permite la conexión vial entre los predios de la vereda y el casco urbano del municipio donde se proveen de alimentos, elementos hospitalarios, insumos agrícolas, remesas del diario vivir, por su transitabilidad constante la via se ha ido deteriorando, situación que hace que la comunidad en época de invierno quede incomunicada a falta de conformación de la banca, falta de algunas obras de arte con sus respectivos desagües, falta de mantenimiento preventivo, cabe resaltar que esta via es considerada terciaria por ende es municipal, via de gran importancia para la vereda por la entrada y salida de mercados, abastecimientos y de movilización ganadera. 
la via de la chapa - matapalito se encuentra con una gran limitación al desarrollo o producción del sector, debido a los aumentos de tiempo de viajes, costos de transporte, debido al mal estado de la via, sumado a esto existe interrupción ocasional por cambios climáticos, generando daños técnicos en vehículos, los daños mas representativos se dan por falta de obras de drenaje transversal, como lo es en el tramo de via de la chapa a matapalito a 600 metros donde se evidencia una obra colapsada que preocupa a la comunidad debido a que es una obra artesanal y que su placa se encuentra fisurada, siguiendo por la misma via a 2 km encontramos una via que perdió la banca por debido a la capacidad hidráulica que en invierno acoge este lugar. 
teniendo en cuenta lo anterior sobre el estado de las vías de la vereda Altagracia y la chapa, el riesgo de colapso del transito es inminente debido a la importancia de su transitabilidad, motivo por el cual se hace necesario en la vereda Altagracia sector el hipi la construcción de una alcantarilla de aleta a aleta sencilla de L: 6 m, en la via de la vereda la chapa-matapalito se debe realizar la construcción de un boxculvert con medidas 2 x 3 x 5, de esta manera garantizando un aumento en la capacidad hidráulica respecto a la actual, de igual manera la construcción de una alcantarilla de aleta a aleta de doble  de L: 6 m, como complementario se debe realizar un relleno de material para la conformación de la via, en vista de lo anterior se establece la necesidad de la administración municipal debe llevar a cabo un proceso contractual.    
A razón de la solicitud insistente y oportuna de la comunidad de la vereda Altagracia , en las cuales se manifestó la imperante necesidad de construir una obra de arte para la vía que comunica la vereda Altagracia - el hipi, y la via la chapa - matapalito se realizó visita técnica, donde personal de la secretaria de planeación y política sectorial, dictaminaron la construcción de una alcantarilla sencilla, alcantarilla doble y boxculvert en el sitio crítico de la vía, para de esta manera lograr que en ese sector se pudiera transitar en época de invierno también. 
De acuerdo a la visita técnica realizada por personal adscrito a la secretaria de Planeación y Política Sectorial, se identificaron los sitios estratégicos para la construcción de las obras de arte, las cuales se describen a continuación:
1. La primera obra de arte a construir se encuentra localizada En el km 26+830 que de la marginal parte al sector el hipi, con coordenadas N 06º02'35.6'' W71º38'53.2'' es necesario la construcción de una alcantarilla sencilla L:6m con su encole y descole, siendo este punto un desagüe natural en tiempo de invierno, se requiere complementar la obra con la conformación de la banca y accesos, debido que por el poco mantenimiento rutinario se ha presentado hundimiento, motivo por el cual no se requiere excavación a mayor profundidad, ya que generaría que el nivel del agua en su mayor época de  inundación quede sobrepasando los anillos de la alcantarilla y no cumpla con su respectiva función, por esta misma razón las excavaciones Manuales del presupuesto son 5,28 metros cúbicos, cantidades relativamente menores al diseño, ya que su área de descapote es de 21.1 metros cuadrados área que hace referencia al área total de la estructura teniendo en cuenta los espacios que ocuparan formaletas por una altura de excavación de 0.25 metros, para su relleno de material de excavación como material crudo de rio, se tiene en cuenta la excavación realizada, como también los accesos a conformar de lado y lado de la alcantarilla lo cual son de 10 metros de distancia de cada lado por un ancho de 6 metros y la altura central de 1.20 generando pendiente de 11º.                                      .
2. La alcantarilla doble se proyecta construir en el km 2+000 via la chapa - matapalito con coordenadas N5º54'33'' W71º30'30'', debe realizarse una alcantarilla doble L:6m debido a que el caudal que se forma en época de invierno convierte en intransitable dicho punto, como también la conformación de la bancada con material de préstamo y crudo de rio, pues allí en invierno se forma con aguas de escorrentía natural y de desborde de otros afluentes, como caño pequeño en época de invierno según lo manifiestan los conocedores de la zona; de igual manera se pretende la conformación de un terraplén con una longitud de 46.8 metros de longitud que lo evidencia el registro fotográfico por un ancho de 6 metros, debido a que este es un punto critico la altura máxima en el centro de tramo donde esta ubicada la alcantarilla doble es de 1.30 metros, se deberá garantizar el uso de maquinaria idónea para garantizar que los trabajo queden con su respectiva funcionalidad.
3. En el km 0+600 con coordenadas N5º54'7'' W71º30'57'' es necesario la construcción de un boxculvert de 2 metros de alto, 3 metros de ancho y 5 metros de largo, siendo este punto en el que se requiere de un paso agua para prevenir la afectación del terraplén o via conformada con material local, en este punto se requiere rellenar y conformar los accesos como también una parte de via, 20 metros mas adelante la cual presenta perdida de la banca generando que la via sufra inundaciones cuando se supera el nivel, para tal propósito la secretaria de planeación y política sectorial realizo diseño de dicha obra y calculo las cantidades de material utilizar, como se refleja en los documentos anexos al presente estudio previo
La ejecución del presente contrato es conveniente ya que con él se aporta al cumplimiento a las metas y objetivos trazados en el Plan de Desarrollo en el sector de vías y transporte, se mejorarán las condiciones de tránsito y comodidad de la población del área rural del municipio, en cada uno de los sectores a intervenir, contribuyendo de manera positiva al desarrollo del municipio. Conviene al municipio la realización de este proyecto, porque de esta manera se atiende diferentes requerimientos de la comunidad del sector rural, que han sido afectadas a lo largo del tiempo. 
Es oportuno para el municipio la ejecución del presente proceso a sabiendas que se cuenta con recurso presupuestal, que además es tiempo de favorable de trabajo de campo y estas situaciones harían que la obra se ejecute sin contratiempos y dentro el tiempo establecido, por lo tanto, se genera una solución eficaz y eficiente a las necesidades expuestas por las comunidades de los sectores afectados.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deben construir tres obras de drenaje, más exactamente alcantarilla sencilla, alcantarilla doble y boxculvert, estas se construirán en vías que se encuentran dentro de la jurisdicción del municipio y que harán parte integral del presente proceso, sin importar que están ubicadas en diferentes vías, via hato corozal - paz de ariporo marginal de la selva hasta vereda Altagracia, vía vereda la chapa - matapalito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1.CONSTRUCCIÓN DE UN (1) BOXCULVERT 2MX3MX5M VEREDA LA CHAPA
2.CONSTRUCCIÓN DE UNA (1) ALCANTARILLA DOBLE DE ALETA A ALETA L= 6 mts, Ø=36"  VEREDA LA CHAPA.
3.CONSTRUCCIÓN DE UNA (1) ALCANTARILLA SENCILLA DE ALETA A ALETA L= 6 mts, Ø=36" VEREDA ALTAGRACIA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72141511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Anexo especificaciones tecnicas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El proyecto se encuentra formulado en la Metodología General Ajustada (MGA).
4. Certificado de la Secretaría de Planeación y Política Sectorial que indique que el proyecto está incluido dentro
del Plan de Desarrollo Municipal HATO COROZAL ALTO Y SOSTENIBLE 2020-2023”.
5. Acuerdo No. PTA 200-02-003 del 30 de mayo de 2020 “Por medio del cual se adopta el Plan de Desarrollo del
Municipio de Hato Corozal, para el periodo 2020-2023 y se dictan otras disposiciones”.
6. Especificaciones Generales de Construcción de Carreteras, última actualización (2013) y Normas de Ensayo de
Materiales para Carreteras del INVIAS, adoptadas por resolución No. 1375 y No. 1376 del 26 de mayo de 2014
respectivamente y la CARTILLA DE OBRAS MENORES DE DRENAJE Y ESTRUCTURAS VIALES DEL
PROGRAMA COLOMBIA RURAL, que pueden ser consultadas en el vínculo de documentos técnicos de la página
http://www.invias.gov.co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Reglamento de Construcciones Sismo Resistentes NSR-10. 
Especificaciones generales de construcción de carreteras y normas de ensayo para materiales de carreteras INVIAS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
Es importante resaltar que los materiales pétreos o de construcción a utilizar, deberán ser adquiridos en fuentes legalizadas ante Ingeominas y Corporinoquia, para lo cual el supervisor deberá velar por el estricto cumplimiento de lo mencionado.</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valor del presupuesto oficial se ha calculado con base en los requerimientos técnicos del proyecto, con base en los precios de referencia de la Secretaria de Planeación y Política Sectorial de la Administración Municipal, la cual cuenta con la sistematización de la información en bases de datos bajo la plataforma Microsoft Acces, en CONSTRUPLAN NG versión 1.5 de LEGIS S.A – CONSTRUDATA, este contiene las diferentes actividades con sus rendimientos por ítem, su base de insumos se actualiza por medio de estudio de mercado local y grandes proveedores nacionales, costos de transporte y facilidad de adquisición.
El presupuesto se obtuvo de acuerdo a los precios de mercado que aplican para la región, considerando como variables los insumos, costos de insumos, transporte de insumos, rendimiento de insumos, rendimiento de la mano de obra, valor de la mano de obra, equipos y herramientas contemplado su desplazamiento, teniendo en cuenta las citadas variables, como se contemplaron los análisis de precios unitarios los cuales fueron multiplicados por la cantidad a ejecutar; los rendimientos y algunos insumos utilizados están basados en las actividades y precios establecidos en la base de datos de la Gobernación de Casanare. (Resolución 0125 del 23 de Julio de 2021).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CIENTO VEINTINUEVE MILLONES NOVECIENTOS NOVENTA Y NUEVE MIL NOVECIENTOS NOVENTA Y DOS PESOS MCTE ($ 129.999.992,oo), producto de las cantidades de obra por el valor unitario de cada una de las actividades consideradas, incluyendo los costos de mano de obra, equipo, transporte, así como de los costos causados por la Administración, los imprevistos y la utilidad (AIU 32%), pero no incluye IVA por ser el Municipio de Hato Corozal una Entidad Territorial (Ley 17 de 1992 articulo 15 y Ley 21 de 1992 articulo 100) permitido en este tipo de presupuesto.
Ver Anexo: Presupuesto general y formularios de presupuesto.
El proponente deberá verificar previa a la presentación de la propuesta, las distancias posibles, fuentes de materiales en el área de influencia del proyecto; así como verificarue éstas se encuentran en funcionamiento y que cumplen con todos los requisitos legales, de tal forma que pueda garantizar la ejecución proyecto. En consecuencia las distancias de acarreo correspondientes deberán ser consideradas por el proponente en los análisis de precios unitarios de la propuesta a presentar, a continuación fuentes de materiales:
FUENTE DE LOS MATERIALES
Para la ejecución de las obras, los materiales pétreos utilizados serán transportados desde la fuente (rio o cantera) y zonas de extracción de material de arrastre MÁS CERCANA AL SITIO DE LA OBRA; que cuentan con sus respectivas licencias y permisos ambientales autorizados por la autoridad ambiental competente Ingeominas y Corporinoquía. Los materiales usados deben cumplir con los requerimientos y especificaciones según la norma NSR-10 y lo descrito en los documentos precontractuales, además deberán ser avalados, verificados y aprobados por el supervisor de la obra.
Las fuentes y distancias consideradas para la consecución de materiales en el Presupuesto, estas deberán ser verificadas y aprobadas por el supervisor de la obra:
Fuentes consideradas para la consecución de materiales en el presupuesto:
•Fuente: Cantera Hato Corozal
Ubicación: Finca Torquemada (6 km del casco urbano) vía a Puerto San Salvador. Cantera utilizada para las alcantarilla sencilla ubicada en la vereda El cedral, alcantarilla doble y boxculvert en la vereda la chapa. 
Tipo de material: Piedra, afirmado, arena y material pétreo en general
via: marginal de la selva (hato corozal-paz de ariporo) desvio a la derecha k20 sitio casa roja - via terciaria la marginal -casa roja-berlin-caño la shell-santa maria-matapalito-la chapa
De acuerdo a lo anterior,  es importante tener en cuenta que las fuentes de materiales evaluadas y recomendadas en los estudios y diseños del presente proyecto, están sujetas a modificación cuando por alguna razón al momento de ejecutar las obras se llegase a presentar una fuente nueva que no pudo ser evaluada en su momento, que cumpla los parámetros técnicos establecidos por la normatividad vigente para ello y su distancia sea más corta a alguna de las fuentes recomendadas; o en su defecto que a la hora de iniciar los trabajos la fuente de materiales que se tomó como referencia no cuenta con los materiales pétreos o no cumple con la normatividad vigente; todo lo anterior deberá ser evaluado y avalado por el supervisor de la Obra con el objeto de velar por la correcta utilización y optimización de los recursos financieros asignados al proyecto.
Nota: Los materiales de arena, piedra, triturado, Material de rio sin seleccionar serán llevados de las fuentes antes mencionadas; si el contratista seleccionado tiene sus propias fuentes y no utiliza las que están referenciadas en este estudio previo, el Municipio de Hato Corozal no reconocerá el sobre acarreo o distancias mayores a las establecidas y el Contratista asumirá el costo del transporte o la distancia extra y el supervisor solo computara la distancia que se hayan definido los sitios respectivos y para los diferentes materiales.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artículo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
En general se tendrá como marco normativo la Ley 80 de 1993, con su modificación contemplada en el Ley 1150 de 2007, el Decreto Único Reglamentario 1082 de 26 de mayo de 2015, el Código de Procedimiento Administrativo y de lo Contencioso Administrativo (Ley 1437 de 2011), la Ley 1474 de 2011, el Decreto Ley 019 de 2012, las Guías expedidas por la Agencia Nacional de Contratación Pública – Colombia Compra Eficiente y la jurisprudencia del Consejo de Estado y de la Corte Constitucional</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DE CONFORMIDAD  AL  ARTICULO 2.2.1.1.2.2.2 DEL DECRETO 1082 DE 2015, LA ENTIDAD SELECCIONARA LA OFERTA MAS FAVORABLE  TENIENDO EN CUENTA :  b) LA PONDERACIÓN DE LOS ELEMENTOS DE CALIDAD Y PRECIO QUE REPRESENTEN LA MEJOR RELACIÓN COSTO – BENEFICIO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1. CAPACIDAD JURÍDICA 
Los interesados podrán participar como Proponentes bajo alguna de las siguientes modalidades siempre y cuando cumplan los requisitos exigidos en el Pliego de Condiciones:
A.	Individualmente: como: (a) personas naturales nacionales o extranjeras, (b) personas jurídicas nacionales o extranjeras.
B.	Conjuntamente, como Proponentes Plurales en cualquiera de las formas de asociación previstas en el artículo 7 de la Ley 80 de 1993.
Los Proponentes deben:
A.	Tener capacidad jurídica para la presentación de la oferta.
B.	Tener capacidad jurídica para la celebración y ejecución del contrato.
C.	No estar incursos en ninguna de las circunstancias de inhabilidad o incompatibilidad, conflicto de interés o prohibición previstas en la legislación colombiana para contratar previstas en la Constitución y en la Ley.
D.	 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impliquen inhabilidad para contratar con el Estado.
La Entidad realizará consulta de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184 de la Ley 1801 de 2016 – Código Nacional de Seguridad y Convivencia Ciudadana–.
2. EXISTENCIA Y REPRESENTACIÓN LEGAL 
La existencia y representación legal de los Proponentes individuales o miembros de los Proponentes Plurales se acreditará de acuerdo con las siguientes reglas:
2.1 PERSONAS NATURALES
Deben presentar los siguientes documentos en copia simple: 
A.	Persona natural de nacionalidad colombiana: cédula de ciudadanía.
B.	Persona natural extranjera con residencia en Colombia: cédula de extranjería vigente expedida por la autoridad competente. 
C.	Persona natural extranjera sin domicilio en Colombia: pasaporte.
2.2.	PERSONAS JURÍDICAS
Deben presentar los siguientes documentos: 
A.	Persona jurídica nacional o extranjera con sucursal en Colombia: 
I.	Certificado de existencia y representación legal expedido por la Cámara de Comercio o autoridad competente en el que se verificará:
a)	Fecha de expedición del certificado no mayor a treinta (30) días calendario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
b)	Que el objeto de la sociedad permita ejecutar las actividades descritas en el objeto del presente Proceso de Contratación. 
c)	Que la vigencia de la persona jurídica nacional o extranjera no sea inferior a la del plazo del contrato y un año adicional. Para efectos de la evaluación, este plazo será contado a partir de la fecha del cierre del Proceso de Contratación. 
d)	Si el Representante Legal de la sociedad tiene restricciones para contraer obligaciones en nombre de la misma, deberá acreditar su capacidad a través de una autorización suficiente otorgada por parte del órgano social competente respectivo para cada caso. 
e)	El nombramiento del revisor fiscal en caso que exista.
f)	Que las personas jurídicas extranjeras con actividades permanentes en la República de Colombia (Contratos de obra o servicios) deberán estar legalmente establecidas en el territorio nacional de acuerdo con los artículos 471 y 474 del Código de Comercio.
II.	Certificación del Revisor Fiscal en caso de ser sociedad anónima colombiana, en la que conste si es abierta o cerrada.
III.	Fotocopia del documento de identificación del representante legal.
En el caso de las Sucursales de las personas jurídicas extranjeras y como quiera que la Sucursal en Colombia no es una persona jurídica diferente a la matriz, se tendrá en cuenta la fecha de constitución de esta última. 
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calendario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
B.	Persona jurídica extranjera sin Sucursal o domicilio en Colombia: Documentos que acrediten la existencia y representación legal de la sociedad extranjera, presentados de conformidad con lo establecido en el presente Pliego de Condiciones, en el que debe constar, como mínimo, los siguientes aspectos:
I.	Nombre o razón social completa.
II.	Nombre del Representante Legal o de la persona facultada para comprometer a la persona jurídica.
III.	Que el objeto de la sociedad permita ejecutar las actividades descritas en el objeto del presente Proceso de Contratación.
IV.	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social competente respectivo para cada caso. 
V.	Tipo, número y fecha del documento de constitución o creación. 
VI.	Fecha y clase de documento por el cual se reconoce la personería jurídica
VII.	Vigencia de la persona jurídica no inferior al plazo del contrato y un año adicional. Para efectos de la evaluación, este plazo será contado a partir de la fecha de cierre del Proceso de Contratación. 
VIII.	Fotocopia del documento de identificación del representante legal.
Si no existiese ninguna autoridad o Entidad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
C.	Entidades Estatales: Deben presentar los siguientes documentos para acreditar su existencia:
I.	Acto de creación de la Entidad Estatal. Este puede ser ley, decreto, ordenanza, acuerdo o certificado de existencia y representación legal (este último no mayor a treinta (30) días calendario anteriores a la fecha de cierre del Proceso de Contratación) o documento equivalente que permita conocer la naturaleza jurídica, funciones, órganos de dirección, régimen jurídico de contratación de la Entidad Estatal
2.3.	PROPONENTES PLURALES 
El documento de conformación de Proponentes Plurales debe: 
A.	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solicitará aclaración. Los Proponentes deberán incluir como mínimo la información requerida en el Formato 2 – Conformación de Proponente plural (Formato 2A- Consorcios) (Formato 2B- UT) . Los Proponentes podrán incluir información adicional que no contradiga lo dispuesto en los Documentos del Proceso.
B.	Acreditar el nombramiento de un representante y un suplente cuya intervención deberá quedar definida en Formato 2 – Conformación de Proponente plural (Formato 2A- Consorcios) (Formato 2B- UT),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
C.	Aportar fotocopia de la cédula de ciudadanía del representante principal y suplente de la estructura plural.
D.	Acreditar que la vigencia de la estructura plural no sea inferior a la del plazo del contrato y un año adicional. Para efectos de la evaluación, este plazo será contado a partir de la fecha del cierre del Proceso de Contratación. 
E.	El Proponente Plural debe señalar expresamente cuál es el porcentaje de participación de cada uno de sus miembros. La sumatoria del porcentaje de participación no podrá ser diferente al 100%.
F.	En la etapa contractual, no podrán ser modificados los porcentajes de participación sin el consentimiento previo de la Entidad. 
G.	[Incluir en Procesos estructurados por lotes o grupos] Indicar el lote o lotes a los cuales presenta oferta. 
Dicho documento debe estar firmado por todos y cada uno de los integrantes del Proponente Plural y en el caso del integrante persona jurídica, por el Representante Legal de dicha persona, o por el apoderado de cualquiera de los anteriores.
3. CERTIFICACIÓN DE PAGOS DE SEGURIDAD SOCIAL Y APORTES LEGALES
3.1.	PERSONAS JURÍDICAS
El Proponente persona jurídica debe presentar el Formato 6 – Pagos de seguridad social y aportes legales suscrito por el Revisor Fiscal, de acuerdo con los requerimientos de ley o por el Representante Legal, bajo la gravedad del juramento, cuando no se requiera Revisor Fiscal, en el que conste el pago de los aportes de sus empleados a los sistemas de salud, riesgos profesionales, pensiones y aportes a las Cajas de Compensación Familiar, al Instituto Colombiano de Bienestar Familiar, al Servicio Nacional de Aprendizaje y  al Fondo Nacional de Formación Profesional para la Industria de Construcción, cuando a ello haya lugar.
Las Entidades no podrán exigir las planillas de pago. Bastará el certificado suscrito por el Revisor Fiscal, en los casos requeridos por la Ley, o por el Representante Legal que así lo acredite.
Cuando la persona jurídica está exonerada en los términos previstos en el artículo 65 de la Ley 1819 de 2016 debe indicarlo en el Formato 6 – Pagos de seguridad social y aportes legales. 
Esta misma previsión aplica para las personas jurídicas extranjeras con domicilio o sucursal en Colombia las cuales deberán acreditar este requisito respecto del personal vinculado en Colombia.
3.2.	PERSONAS NATURALES 
El Proponente persona natural deberá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La persona natural que reúna los requisitos para acceder a la pensión de vejez, o se pensione por invalidez o anticipadamente, presentará el certificado que lo acredite y, además la afiliación al sistema de salud.
Esta misma previsión aplica para las personas naturales extranjeras con domicilio en Colombia las cuales deberán acreditar este requisito respecto del personal vinculado en Colombia. 
3.3.	PROPONENTES PLURALES 
Cada uno de los integrantes del Proponente Plural debe suscribir por separado la declaración de la que tratan los anteriores numerales.
3.4.	SEGURIDAD SOCIAL PARA LA SUSCRIPCIÓN DEL CONTRATO 
El adjudicatario debe presentar, para la suscripción del respectivo Contrato, ante la dependencia respectiva, la declaración donde acredite el pago correspondiente a seguridad social y aportes legales cuando a ello haya lugar. 
En caso de que el adjudicatario, persona natural o jurídica, no tenga o haya tenido dentro de los seis (6) meses anteriores a la fecha de firma del Contrato personal a cargo y por ende no esté obligado a efectuar el pago de aportes legales y seguridad social debe indicar esta circunstancia en la mencionada certificación, bajo la gravedad de juramento.
3.5.	ACREDITACIÓN DEL PAGO AL SISTEMA DE SEGURIDAD SOCIAL DURANTE LA EJECUCIÓN DEL CONTRATO 
El contratista debe acreditar para realizar cada pago del contrato, que se encuentra al día en los aportes parafiscales relativos al Sistema de Seguridad Social Integral, así como los propios del Sena, ICBF y Cajas de Compensación Familiar, cuando corresponda.  
4.	EXPERIENCIA 
Los Proponentes deben acreditar su experiencia a través de: (i) la información consignada en el RUP para aquellos que estén obligados a tenerlo, (ii) la presentación del Formato 3 – Experiencia para todos los Proponentes y (iii) alguno de los documentos válidos para la acreditación de la experiencia, señalados en el numeral 3.5.5 cuando se requiera la verificación de información del Proponente adicional a la contenida en el RUP.
Los Proponentes podrán acreditar experiencia proveniente de contratos celebrados con particulares o Entidades Estatales. 
F.PERSONAL MÍNIMO REQUERIDO.
Para efectos de la ejecución del objeto de la presente objeto contractual, el municipio de Hato Corozal ha considera como obligación que el posible ejecutor asigne al proyecto un personal mínimo idoneo para la correcta terminación de las obras proyectadas.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anexo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CONSTRUCCION (ODT) OBRAS DE DRENAJE TRANSVERSAL EN VIAS RURALES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Sector rural del municipio de Hato Corozal, en las veredas Altagracia y la chapa.
se anexa ubicación y descripción de cada obra a realizar en su respectiva vereda.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cancelara el valor pactado en el contrato de la siguiente forma: Hasta el 90% del valor total del contrato mediante actas parciales de acuerdo al avance del cumplimiento del objeto, previa autorización del supervisor y el saldo final del 10% del valor total del contrato a la suscripción del acta de terminación, acta de liquidación y del recibo a satisfacción por parte del municipio, para lo cual requerirá que el contratista presente un informe final con el mismo contenido y alcance definido para los informes parciales, anexando además el paz y salvo de cada uno de los trabajadores por todo concepto, paz y salvo de las empresas de servicios públicos y demás que la administración crea convenientes, el comprobante de pago del impuesto de timbre correspondiente al valor total de las actas de ajuste definitivo del contrato (cuando a ello hubiere lugar) e igualmente los Comprobantes de pago en donde se demuestre el cumplimiento por parte del Contratista de sus obligaciones frente al Sistema de Seguridad Social Integral y parafiscales (Cajas de Compensación Familiar, Sena e ICBF).
PARÁGRAFO: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 Y 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129.999.992,00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EDISSON FERNEY AYA PANQUEVA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17356563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NELSON ENRIQUE GONZALEZ RAMIREZ</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7170078</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PROFESIONAL APOYO</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GINNA ROCIO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53177153</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PROFESIONAL APOYO</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JEFERSSON NORBERTO NUÑEZ VALCÁRCEL</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GINNA ROCIO DAZA</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53177153</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EDISSON FERNEY AYA PANQUEVA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0</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2022-00103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