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PRESTACIÓN DE SERVICIOS</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0186</w:t>
            </w:r>
            <w:r w:rsidR="00EC7A5C" w:rsidRPr="0002150A">
              <w:rPr>
                <w:rFonts w:cs="Arial"/>
                <w:b/>
                <w:sz w:val="20"/>
                <w:szCs w:val="20"/>
              </w:rPr>
              <w:t xml:space="preserve"> DEL </w:t>
            </w:r>
            <w:r w:rsidR="003C7021" w:rsidRPr="0002150A">
              <w:rPr>
                <w:rFonts w:cs="Arial"/>
                <w:b/>
                <w:sz w:val="20"/>
                <w:szCs w:val="20"/>
              </w:rPr>
              <w:t>2022-10-05</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MANTENIMIENTO PREVENTIVO  Y CORRECTIVO A TODO COSTO DEL BANCO DE  MAQUINARIA ENTREGADO MEDIANTE COMODATO No. 1080 DEL 28 DE ENERO DE 2022 AL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LINO RODRIGUEZ OCHOA</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74180362-1</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$114.302.471,00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2022-10-05</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2022-10-11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2023-01-10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Once(11) </w:t>
      </w:r>
      <w:r w:rsidRPr="003B2571">
        <w:rPr>
          <w:rFonts w:cs="Arial"/>
          <w:sz w:val="20"/>
          <w:szCs w:val="20"/>
        </w:rPr>
        <w:t xml:space="preserve">días del mes de </w:t>
      </w:r>
      <w:r w:rsidR="002754DB" w:rsidRPr="003B2571">
        <w:rPr>
          <w:rFonts w:cs="Arial"/>
          <w:sz w:val="20"/>
          <w:szCs w:val="20"/>
        </w:rPr>
        <w:t>Octubre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LINO RODRIGUEZ OCHOA, identificado(a) con cédula de ciudadanía 74180362 de SOGAMOSO</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PRESTACIÓN DE SERVICIOS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0186</w:t>
      </w:r>
      <w:r w:rsidRPr="003B2571">
        <w:rPr>
          <w:rFonts w:cs="Arial"/>
          <w:b/>
          <w:sz w:val="20"/>
          <w:szCs w:val="20"/>
        </w:rPr>
        <w:t xml:space="preserve"> DEL </w:t>
      </w:r>
      <w:r w:rsidR="00B96CD0" w:rsidRPr="003B2571">
        <w:rPr>
          <w:rFonts w:cs="Arial"/>
          <w:sz w:val="20"/>
          <w:szCs w:val="20"/>
        </w:rPr>
        <w:t>2022-10-05</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 Un primer pago mediante anticipo del 30% al perfeccionamiento del contrato
2.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0300</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2022-09-05</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2-39-IST/2.3.2.02.02.008.240211206.2020851250017</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R.B. IMPUESTO DE TRANSPORTE POR OLEODUCTOS Y GASODUCTOS</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$14.902.471,00</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0300</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2022-09-05</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2-39-IST/2.3.2.02.02.008.240211206.2020851250017</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INGRESOS CORRIENTES DE LIBRE DESTINACION</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$99.400.000,00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0622</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2022-10-05</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2-39-IST/2.3.2.02.02.008.240211206.2020851250017</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R.B. IMPUESTO DE TRANSPORTE POR OLEODUCTOS Y GASODUCTOS</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$14.902.471,00</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0622</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2022-10-05</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2-39-IST/2.3.2.02.02.008.240211206.2020851250017</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INGRESOS CORRIENTES DE LIBRE DESTINACION</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$99.400.000,00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Once(11) días del mes de Octubre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LINO RODRIGUEZ OCHOA</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