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0165</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MANUEL DE JESUS FERNANDEZ ZEA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17590190</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ARAUCA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 FORMACIÓN ARTÍSTICA COMO INSTRUCTOR DEL INSTRUMENTO ARPA LLANERA EN LA CASA DE LA CULTURA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MANUEL DE JESUS FERNANDEZ ZEA, identificado(a) con cédula de ciudadanía 17590190 de ARAUCA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2023-00209</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 FORMACIÓN ARTÍSTICA COMO INSTRUCTOR DEL INSTRUMENTO ARPA LLANERA EN LA CASA DE LA CULTURA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($9790000.00).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ejercicios básicos en las dos manos con la postura correspondiente y su técnica.
2.	Adiestrar dos canciones en el aire de pasaje en tonalidad menor y mayor. 
3.	Enseñar al estudiante también un aire movido del folclor llanero entre ellos: (Gaban, Corrió, Pajarillo, Quirpa, Seis por Derecho, guacharaca, diamantes, san Rafael, periquera, entre otros) tres canciones como mínimo por mes. (Dos pasajes y un aire llanero)
4.	Adoctrinar la historia del arpa y las partes que corresponden al instrumento, afinación y cambios de tonos mayores y menores con sus respectivos relativos.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el proceso de elaboración del informe de resultado de las metas de cultura, del cuatrienio del plan de desarrollo municipal 2020- 2023en medio físico y magnético
8.	Las demás actividades que le sean asignadas por el respectivo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MANUEL DE JESUS FERNANDEZ ZEA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5 Nº 11 - 72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3112726506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arpaenejecucion@hotmail.com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MANUEL DE JESUS FERNANDEZ ZEA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