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ABOGADO PARA FORTALECER EL PROCESO DE SANEAMIENTO Y TITULACIÓN DE  BIENES INMUEBLES URBANOS FISCALES, UBICADOS EN EL MUNICIPIO DE HATO COROZAL CASANARE, QUE TRATAN LA LEY 137 DE 1959 Y EL ARTÍCULO 14 DE LA LEY 708 DE 2001, MODIFICADO POR EL ARTÍCULO 277 DE LA LEY 1955 DE 2019, LA LEY 1001 DE 2005, LA LEY 2044 DE 2020 Y SUS DECRETOS REGLAMENTARIOS.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ALVAO BARAJAS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1032360394-8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(06)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ALVAO BARAJAS, identificado(a) con cédula de ciudadanía 1032360394 de MONTERREY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CINCO MILLONES DE PESOS MC/TE. (5.000.000),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CINCO MILLONES DE PESOS MC/TE. (5.000.000),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0239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F11.2.3.2.02.02.008.4001001.2020851250016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0423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F11.2.3.2.02.02.008.4001001.2020851250016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ALVAO BARAJAS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