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INTERADMINISTRATIVO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2021-04-09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DESARROLLAR ACCIONES DEL PLAN DE INTERVENCIONES COLECTIVAS-PIC 2021 EN CUMPLIMIENTO DEL PLAN DECENAL DE SALUD Y PLAN TERRITORIAL DE SALUD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E.S.E HOSPITAL LOCAL DE TAURAMENA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844001287-3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$248.961.508,00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2021-04-09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2021-04-09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2021-10-08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2021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JENNY XIMENA MORENO RUIZ, identificado(a) con cédula de ciudadanía 1115910454 de TAURAMENA, representante legal de(l-la) E.S.E HOSPITAL LOCAL DE TAURAMENA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INTERADMINISTRATIVO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2021-04-09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0116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2021-04-07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2215116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ONCE DOCEAVAS VIGENCIA ACTUAL MAS ULTIMA DOCEAVA VIGENCIA ANTERIOR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$248.961.508,00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0209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2021-04-09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2215116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ONCE DOCEAVAS VIGENCIA ACTUAL MAS ULTIMA DOCEAVA VIGENCIA ANTERIOR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$248.961.508,00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Abril de 2021,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JENNY XIMENA MORENO RUIZ R/L E.S.E HOSPITAL LOCAL DE TAURAMENA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