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2022-12-12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MONTAJE DE ESTRUCTURA METÁLICA PARA TANQUE ELEVADO DE ALMACENAMIENTO REQUERIDO PARA LA PROVISIÓN DE AGUA PARA CONSUMO HUMANO EN LA VEREDA LAS TAPIAS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INGARQ TORRES &amp; VENEGAS E.U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900466278-5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$99.736.000,00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DIEGO FERNANDO VENEGAS RIVERA, identificado(a) con cédula de ciudadanía 9431291 de YOPAL, representante legal de(l-la) INGARQ TORRES &amp; VENEGAS E.U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2022-12-12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0362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2022-11-15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2-37-IAP/2.3.2.02.02.005.400301503.2021851250012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SGP-AGUA POTABLE Y SANEAMIENTO BASICO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2-37-IAP/2.3.2.02.02.005.400301503.2021851250012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SGP-AGUA POTABLE Y SANEAMIENTO BASICO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$99.736.000,00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DIEGO FERNANDO VENEGAS RIVERA R/L INGARQ TORRES &amp; VENEGAS E.U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