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APOYO LA GESTION PARA FORTALECER EL DESARROLLO A LA SEGURIDAD Y CONVIVENCIA CIUDADANA EN EL MUNICIPIO DE HATO COROZAL-CASANARE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YAZMIN CARINA CRUZ RIOS, identificado(a) con cédula de ciudadanía 1118648977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APOYO LA GESTION PARA FORTALECER EL DESARROLLO A LA SEGURIDAD Y CONVIVENCIA CIUDADANA EN EL MUNICIPIO DE HATO COROZAL-CASANARE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Acta de terminación anticipada por cumplimiento de ejecución contractual.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