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0132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LA INSPECCIÓN DE POLICÍA 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  (1) MES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0132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Un  (1) MES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por valor de Un Millón setecientos Mil  Pesos M/Cte. ($1.700.000),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setecientos Mil  Pesos M/Cte. ($1.700.000,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0132 de 2022-07-28 cuyo Objeto: PRESTAR LOS SERVICIOS DE APOYO A LA GESTIÓN EN LA INSPECCIÓN DE POLICÍA 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