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E211.2.3.2.02.02.009.4103005.2021851250007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$19.998.000,00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BENEFICIAR A 100 MUJERES EN CONDICIÓN DE POBREZA Y VULNERABILIDAD CON CAPACITACIÓN EN FOMENTO DE ACTIVIDADES PRODUCTIVAS, OFICIOS MANUALES, ARTESANÍAS, ESTILOS DE VIDA SALUDABLE Y NUTRICIÓN, ENTRE OTROS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Prestación de servicios para garantizar la realización del evento "Carrera de la Mujer Alto y Sostenible 2023"</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9989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velar por el cumplimiento de los fines esenciales del Estado, es por esto que presta el servicio a la comunidad, garantiza el cumplimiento de los derechos y libertades que se encuentran consagrados en la Constitución Política de 1991, además que realiza un trabajo mancomunado con las autoridades de la república para proteger a las personas “…”en su vida, honra, bienes, creencias, y demás derechos y libertades, y para asegurar el cumplimiento de los deberes sociales del Estado y de los particulares.” (Constitución Política de 1991, artículo 2).
Así entonces, considera la Constitución el trato igualitario para todas las personas, por eso estas nacen libres e iguales ante la Ley y recibirán un trato igualitario por parte de las Entidades, Instituciones y autoridades de la república. “El Estado protegerá especialmente a aquellas personas que por su condición económica, física o mental, se encuentren en circunstancia de debilidad manifiesta y sancionará los abusos o maltratos que contra ellas se cometan.” (Constitución Política de 1991, artículo 13).
Por lo anterior, dentro de los derechos sociales, económicos y culturales se insta a velar por el trato igualitario a la mujer y al hombre en razón a derechos y oportunidades. De tal forma que, no será sometida a ningún trato discriminatorio y se apoyará especialmente a la mujer cabeza de familia, teniendo en cuenta que es un sujeto de especial protección. (Constitución Política de 1991, artículo 43).
Para el caso de las funciones de los Municipios, es prudente mencionar que se debe procurar la solución de las necesidades insatisfechas de los habitantes, haciendo énfasis a los “…” niños, las niñas, los adolescentes, las mujeres cabeza de familia, las personas de la tercera edad, las personas en condición de discapacidad y los demás sujetos de especial protección constitucional” (Ley 1551 de 2012, artículo 6, numeral 7).
Ahora bien, el tema de la inclusión y empoderamiento de la mujer, viene de tratándose desde la Organización de las Naciones Unidas, es por esto que, bajo la Ley 51 de 1981 se aprueba y adopta la Convención sobre la eliminación de todas las formas de discriminación contra la mujer. Asimismo, en miras de desarrollar el artículo 42 de la Constitución, buscando prevenir, remediar y sancionar la violencia intrafamiliar (reformada por la Ley 1257 de 2008). Posteriormente, se reglamente la participación equitativa y efectiva de la mujer en los niveles de las diferentes ramas y órganos del poder público (ley 581 de 2000); para el caso de la Ley 823 de 2003, ésta tiene por objeto establecer un marco n0ormativo para orientar las políticas y acciones del gobierno para garantizar la equidad e igualdad de oportunidades de las mujeres en el ámbito público y privado. (Ley 823 de 2003). Asimismo, se dictan normas de sensibilización, prevención y sanción de todas las formas de violencia y discriminación contra las mujeres. (Ley 1257 de 2008). Para el caso de la Ley 1542 de 2012, se reforma el Código de Procedimiento Penal en su artículo 74, derogando el carácter de querellable y desistible a los delitos de violencia intrafamiliar e inasistencia alimentaria. 
Son muchas las acciones que se han venido desarrollando desde el ámbito internacional y nacional buscando la igualdad de los géneros y empoderamiento de la mujer. De esta forma, se la Organización de las Naciones Unidas proclamó en el año 1975 el día de la mujer el 8 de marzo, debido a las manifestaciones de las mujeres, especialmente en Europa, las cuales reclamaban el derecho al voto, mejores condiciones de trabajo e igualdad entre los sexos. (https://www.un.org/es/observances/womens-day/background ).
La Administración Municipal en miras de cumplir con lo preceptuado en las diferentes Convenciones, la Constitución Política de 1991 y normatividad vigente, incluyó dentro de su Plan de Desarrollo metas para lograr el empoderamiento de la mujer dentro de su territorio. Por lo tanto, en la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 
Es por esto que se considera necesaria la realización de un evento de integración para las mujeres, como lo es “La Carrera de la Mujer Alto y Sostenible” el desarrollo del evento será transmitir mensajes de inclusión, bienestar y empoderamiento de las mujeres, a través de la carrera atlética. En este evento se entregarán incentivos como: cachucha, camiseta deportiva, botilo para el agua, además de un kit compuesto por: crema para manos y splash aromatizante; la rifa de Bicicletas MTB. Se contará con la entrega de refrigerio e hidratación. Asimismo, con el objetivo de crear hábitos de vida saludable, se llevará a cabo una jornada de aeróbicos, por lo que se presentará un instructor para que las guié dentro de la jornada. 
Adicionalmente, con este evento buscan que el máximo posible  que en torno a las mujeres, las familias se unan y experimenten la emoción de los valores del deporte y se inspiren en ellos para llevar sus vidas a estándares más altos de salud, motivación, productividad y sensibilidad por causas nobles, en tal sentido es necesario incentivar a los participantes y reconocer a quienes se destaquen en las diferentes pruebas y categorías, a fin de  promover la actividad física como referente de disciplina, superación, auto-conocimiento, respeto de normas, resiliencia, coraje y de la satisfacción del logro de los objetivos.
Lo anterior, teniendo en cuenta que la sociedad actualmente se encuentra condicionada por los estereotipos de género y el deporte juega un papel muy importante en el proceso de empoderamiento de las mujeres, puesto que les permite ser más críticas con ellas mismas y con la sociedad, aumentando su confianza. 
Por último y para garantizar el cumplimiento de la Ley 397 de 1997, el Municipio cuenta con la disponibilidad presupuestal en el Rubro No. E211.2.3.2.02.02.009.4103005.2021851250007 de nombre: SERVICIOS PARA LA COMUNIDAD, SOCIALES Y PERSONALES, cuya fuente de financiación es: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de Desarrollo Social, Integral y Productivo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Realización del evento "Carrera de la Mujer Alto y Sostenible 2023"</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durante Ocho (08) horas el servicio de sonido.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2.	Garantizar la presentación de Un (1) presentador o maestro de ceremonia, quien acompañará en la tarima durante el día del evento.
3.	Realizar la entrega de Cien (100) Kit de incentivo compuesto por: Cachucha, Camiseta deportiva estampadas en sublimacion, cuello redondo, colores y logos suministrados por la Supervisión y botilo de plástico de 500 ml).
4.	Garantizar la hidratación mediante la entrega de Setecientas (700) bolsas de agua de 350 mil para el desarrollo de cada una de las actividades.
5.	Contar la presentación de Un (01) Instructor de aeróbicos para que dirija la jornada deportiva.
6.	Realizar la entrega de Cinco (05) Bicicleta mtb: MARCO: Aluminio. SUSPENSIÓN DELANTERA: bloqueo al hombro. RINES: En aluminio LLANTAS: 29X2.1 27 TPI doble propósito. GRUPO: 7 velocidades. TRIPLATO o MONOPLATO PACHA: 7 piñones CADENILLA: PLATA 1/2 * 3/32 114L. FRENOS: Disco mecánico 160 MM. SILLIN. POSTE DE SILLIN: Aluminio MANURIO: Aluminio PEDALES: DE MTB con plataforma y agarre. Estas bicicletas serán entregadas como incentivo a las mujeres participantes de la carrera.
7.	Entregar Noventa y Seis (96) Kit de incentivo compuesto por: splach y crema de manos.
8.	Suministrar Doscientos Cinco (205) refrigerios, el cual consiste en un producto sólido y un producto refrescante. Se debe garantizar Un (1) sándwich de pollo y una bebida con jugo de fruta en envase desechable.
1.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53103000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52152010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25161505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53131613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50202400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49221510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“Hato Corozal Alto y Sostenible 2020-2023”
Línea Estratégica No. 1 “Hato Corozal semillero de proyectos para el desarrollo y la inclusión social” Programa: población con enfoque de derechos primero; para la inclusión social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(Constitución Política de 1991, artículo 43).
Ley 51 de 1981 &amp;quot;Por medio de la cual se aprueba la Convención sobre la eliminación de todas las formas de discriminación contra la mujer, adoptada por la Asamblea General de las Naciones Unidas el 18 de diciembre de 1979 y firmada en Copenhague el 17 de julio de 1980.
Ley 1257 de 2008 Por la cual se dictan normas de sensibilización, prevención y sanción de formas de violencia y discriminación contra las mujeres, se reforman los Códigos Penal, de Procedimiento Penal, la Ley 294 de 1996 y se dictan otras disposiciones.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febrero se solicitaron  y recibieron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Diecinueve Millones Novecientos Noventa y Ocho Mil Pesos M/Cte. ($19.998.000), con recursos del presupuesto municipal de la vigencia fiscal 2023.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TIPIFICACIÓN DE RIESGOS: 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&amp;amp;amp;quot;En los contratos  estatales  se mantendrá  la igualdad  o equivalencia  entre derechos y obligaciones  al momento  de proponer o de contratar según el caso (...)</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LOGÍSTICOS PARA LA REALIZACIÓN DE LA PRIMERA CARRERA DE LA MUJER “ALTO Y SOSTENIBLE 2023”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mediante actas parciales hasta el 80%, previa presentación de informe de actividades y presentación de factura legal y/o cuenta de cobro,  pago de seguridad social y certificación de cumplimiento por parte del supervisor. Y el 20% para la liquidación, presentando factura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19.998.000,00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