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2023-05-25</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de la Gestión de La Salud Pública y Aseguramiento, en el Municipio De Hato Corozal Casanare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E513.2.3.2.02.02.009.1905035.2021851250002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SALUD PUBLICA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$15.180.000,00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APLICAR AL 100% LA POLÍTICA DE VIGILANCIA EN SALUD PÚBLICA QUE LE CORRESPONDE AL MUNICIPIO.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financiero para dotar con bienes y Servicio de interés para la salud pública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Apoyar los procesos que se deriven del cumplimiento del Sistema Nacional de Vigilancia en Salud Pública -SIVIGILA al día.</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1108 Habitantes población registrada en la base de datos del SISBEN METODOLOGÍA III certificada por el departamento nacional de planeación DNP para el municipio de Hato Corozal, fecha de corte 31 diciembre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En razón a lo contemplado en la Constitución Política de 1991,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 (Constitución Política de 1991, artículo 1).
Asimismo, dentro de los fines esenciales del Estado, el servicio a la comunidad, la promoción de los derechos, deberes y la promoción de la prosperidad en general, vienen siendo teniendo una relevancia más alta. (Constitución Política de 1991, artículo 2).
Dentro de los derechos sociales, económicos y culturales se estipula la seguridad social como un servicio público de carácter obligatorio, el cual estará bajo la dirección, coordinación y control del Estado, basados en los principios de eficiencia, universalidad y solidaridad. (Constitución Política de 1991, artículo 48).
Adicionalmente, la salud y el saneamiento básico también son considerados como servicios públicos y se encuentra bajo la responsabilidad del Estado. Por lo tanto, se debe garantizar el acceso a los servicios de promoción, protección y recuperación de la salud a todas las personas, sin reflejarse ninguna discriminación. (Constitución Política de 1991, artículo 49). 
Igualmente, 
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 (Constitución Política de 1991, artículo 49).
Teniendo en cuenta lo anterior, se crea el Sistema de Seguridad Social Integral; el cual tiene como objetivo garantizar los derechos irrenunciables de las personas y la comunidad en miras de mejorar la calidad de vida de las personas basándose en la dignidad humana. (Ley 100 de 1993, artículo 1). Asimismo, es considerado la seguridad social como un servicio público de obligatorio cumplimiento por parte del Estado y por las Entidades públicas o privadas. (Ley 100 de 1993, artículo 4).
Ahora bien, en relación a la Gestión de la Salud Pública se establecen directrices para la ejecución, evaluación del Plan de Salud Pública de Intervenciones Colectivas-PIC. Por lo tanto, en los procesos para la Gestión de la Salud Pública se crean funciones para los actores intervinientes; es por esto que se establece la planeación integral en salud, la vigilancia en salud pública y la inspección, vigilancia y control-IVC son principales acciones que aportan a la identificación, eliminación o disminución de los riesgos, daños o impactos negativos de la salud humana. (Resolución No. 518 de 2015, artículo 5, numeral 5.13).
De igual forma, se crea y se reglamenta el Sistema de Vigilancia en Salud Pública, el cual tiene como objetivo la provisión de forma sistemática y oportuna de la información acerca de la dinámica de los eventos que afecten o puedan afectar la salud de la población en general. (Decreto 3518 de 2006, artículo 1).
En relación a los procesos básicos de la vigilancia en salud pública se encuentra: “…” la recolección y organización sistemática de datos, el análisis e interpretación, la difusión de la información y su utilización en la orientación de intervenciones en salud pública.” (Decreto 3518 de 2006, artículo 15). 
Dentro del Decreto Único Reglamentario del Sector Salud y Protección Social, ha considerado la vigilancia, prevención y control; por lo tanto, se debe suministrar al SIVIGILA de manera sistemática y oportuna la información sobre la dinámica de los eventos que afecten o puedan afectar la salud de las personas, con el objetivo de orientas las políticas, programas y proyectos que se encuentren orientados a la prevención de enfermedades y factores de riesgo en salud. (Decreto 780 de 2016, capítulo 2).
Para el caso de la inversión de los recursos a los servicios públicos en salud, se establecen competencias de los Municipios para dirigir y coordinar el sector salud y el Sistema de Seguridad Social en la jurisdicción. Por lo tanto, “44.1.5. Adoptar, administrar e implementar el sistema integral de información en salud, así como generar y reportar la información requerida por el Sistema.” (ley 715 de 2001, artículo 44, numeral 44.1.5.)
El Municipio de Hato Corozal en miras de cumplir con su responsabilidad legal y social, dentro de su Plan de Desarrollo Municipal “Hato Corozal Alto y Sostenible 2020-2023” en su la Línea Estratégica No. 1 Hato Corozal semillero de proyectos para el desarrollo y la inclusión. Programa: salud un bien para todos; Meta Resultado: implementación del Plan Territorial de salud del municipio; Meta Producto: 1. Administrar, verificar y validar al 100% de la Bases de Datos de Afiliados, con generación oportuna de informes; 5. Aplicar al 100% la política de vigilancia en salud pública que le corresponde al municipio. 6. Mantener una interlocución o enlace permanente con el departamento y la comunidad para mejorar la prestación del servicio de salud y la atención de reclamos y gestiones de salud 7. Implementar acciones de atención y mitigación de la prevalencia de enfermedades emergentes (IRA).
Así entonces, se considera necesario apoyar la realización de acciones de vigilancia pública-VPS, para fortalecer los procesos de vigilancia en las plataformas de SIVIGILA, SISVAN, SIVIM (Sistema de información de violencia intrafamiliar y de género), sistema VESPA- Vigilancia Especial Sustancias Psicoactivas, además de apoyar al cumplimiento de las metas trazadas en el Plan de Desarrollo Municipal y en el Plan Decenal de Salud Pública. Siendo así, se requiere contar con los servicios de un técnico con conocimientos afines al objeto contractual.
Para la inversión de estos recursos, el Municipio cuenta con la disponibilidad presupuestal en el Rubro No. E513.2.3.2.02.02.009.1905035.2021851250002, nombre: SERVICIOS PARA LA COMUNIDAD, SOCIALES Y PERSONALES, cuya fuente de financiación es: SGP SALUD PUBLICA.</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Título de formación técnica en el área requerida o aprobación de Dos (02) años de formación universitaria en el área requerida, con Tres (03) años de experiencia relacionada. Decreto No. 100.13.048 del 17 de mayo de 2022. Por medio del cual se fija la escala de honorarios de contratos de Prestación de Servicios Profesionales y de Apoyo a la Gestión en el Municipio de Hato Corozal el cual en su artículo segundo decreta las categorías para el pago de los mismos, y en su nivel técnica categoría 2.</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Realizar la actualización ajustes y asistencias técnicas de los sistemas de información SIVIGILA, SIVIM, SISVAN Y VESPA en las UPGD, Y UNM, de acuerdo a las directrices establecidas por el ministerio de salud y la protección    social y/o secretaria de salud de Casanare evitando el silencio epidemiológico, realizando los procesos de análisis y divulgación de la información conforme a los protocolos vigentes de INS. teniendo en cuenta la entrega de soportes o evidencias de seguimientos de manera mensual como actas, informes, bases de datos y oficios en medio magnético y original.
2.	Revisar las fichas de los EISP notificados por las UPGD al SIVIGILA, y realizar retroalimentación, con el fin de mejorar la calidad del dato en la notificación.
3.	Realizar acompañamiento a las asistencias técnicas municipales y departamentales que se realicen al Municipio y UPGDS por secretaria de salud departamental referentes al objeto contractual.
4.	Realizar investigaciones de campo de los eventos de interés en salud pública (brotes y epidemias) de los eventos de zoonosis, (agresiones por animales, leptospirosis, accidente ofídico y demás) así mismo los eventos de intoxicaciones químicas correspondientes a la dimensión de salud ambiental y eventos sin establecer según directrices del INS notificados al SIVIGILA así mismo realizar seguimiento e investigaciones de campo enfermedades no transmisibles ENT como cáncer y todos los que corresponde a la dimensión.
5.	Realizar seguimiento al evento bajo peso al nacer, desnutrición en menores de 5 años desacuerdo a los lineamientos vigentes.
6.	Brindar apoyo por enfermedades transmitidas por alimentos o por agua –ETAS, EDA así mismo en (brotes y epidemias)
7.	Apoyar la realización de comités de vigilancia epidemiológica, así mismo participar de manera activa en los COVES departamentales virtuales y apoyar la realización de los COVES, COVECOM municipales       y       en la coordinación e información a presentar.
8.	Apoyo en la realización de las búsquedas activas comunitarias e institucionales por inmunoprevenibles.
9.	 Apoyar la ejecución de acciones del plan ampliado de inmunizaciones y jornadas de vacunación y monitoreos de cobertura rápida.
10.	Apoyar la ejecución de las acciones del plan de acción de infecciones respiratorias agudas –ira, tuberculosis y Hansen.
11.	Realizar apoyo a informes, planes de acción, unidad de análisis y planes de contingencia relacionadas con las dimensiones del objeto contractual.
12.	Apoyo de actividades, informes y acciones relacionadas con la dimensión de ámbito laboral.
13.	 Apoyar a las actividades del proceso de certificación de la interrupción de la transmisión intradomiciliaria enfermedad de Chagas.
14.	Las demás actividades que le sean asignadas por el secretario de desarrollo social, integral y productivo y las demás que reglamente la ley en materia de salud pública en el municipio de Hato Corozal Casanare.
15.	Realizar la elaboración y entrega de informes solicitados de acuerdo con las actividades propias del objeto en medio físico y magnético.
16.	Elaborar informe de resultado de las metas del cuatrienio, del Plan de Desarrollo Municipal 2020-2023 en medio físico y magnético. 
17.	Las demás actividades que sean requeridas por parte de la supervisión.</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técnico, categoría 2, Título de formación técnica en el área requerida o aprobación de dos (2) años de formación universitaria en el área requerida, con tres (3) años de experiencia requerida.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200-002-007 Plan de Desarrollo Municipal vigencia 2020-2023, “HATO COROZAL ALTO Y SOSTENIBLE
LINEA ESTRATEGICA 1: HATO COROZAL SEMILLERO DE PROYECTOS PARA EL DESARROLLO Y LA INCLUSIÓN SOCIAL
PROGRAMA SALUD UN BIEN PARA TODOS, que tiene como 
Objetivo: Garantizar que la población del municipio de Hato Corozal pobre y vulnerable se encuentre afiliada al Sistema de Seguridad Social en Salud (SGSSS) y genere estilos de vida y hábitos saludables para que disminuya la incidencia y la prevalencia de enfermedades. Actividad APLICAR AL 100% LA POLÍTICA DE VIGILANCIA EN SALUD PÚBLICA QUE LE CORRESPONDE AL MUNICIPIO.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técnico, categoría 2, se requiere de una persona natural con título de formación técnica en el área requerida o aprobación de Dos (02) años de formación universitaria en el área requerida, con Tres (03) años de experiencia relacionada. (Decreto No. 100.13.048 de 17 de mayo de 2022).
PERFIL TÉCNICO CATEGORÍA 1, Cuyo rango de Honorarios va desde $2.420.000 a $2.640.000. En virtud de lo anterior, el presupuesto oficial para la presente contratación es como se detalla a continuación: 
Valor Mensual: Dos Millones Quinientos Treinta Mil Pesos M/Cte. ($2.530.000).
Valor Total del Contrato: Quince Millones Ciento Ochenta Mil Pesos M/Cte. ($15.180.000)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técnico, categoría 2, se requiere de una persona natural con título de formación técnica en el área requerida o aprobación de Dos (02) años de formación universitaria en el área requerida, con Tres (03) años de experiencia relacionada.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BRINDAR APOYO A LA GESTION COMO TECNICO AUXILIAR DE ENFERMERIA, EN EL MANEJO DE LOS SISTEMAS DE INFORMACION COMO SIVIGILA, SIVIM,SISVAN, VESPA Y APOYO A LAS DIMENSIONES DE SALUD AMBIENTAL ,VIDA SALUDABLE Y CONDICIONES NO TRANSMISIBLES Y SEGURIDAD ALIMENTARIA Y NUTRICIONAL DEL MUINICIPIO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pagará de la siguiente forma: Cinco (05) actas parciales mensuales por valor de Dos Millones Quinientos Treinta Mil Pesos M/Cte. ($2.530.000),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Quinientos Treinta Mil Pesos M/Cte. ($2.530.000), una vez suscrita la respectiva acta de liquidación, previa entrega del informe de actividades correspondiente con el respectivo visto bueno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15.180.000,00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