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2022-02-03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2-39-IST/2.3.2.02.02.005.240204101.2020851250017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GENERAL-PROPOSITO GENERAL LIBRE INVERSION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$27.995.500,00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EL RASTRILLADO DE 295 KILÓMETROS DE VÍAS TERCIARIAS DEL SECTOR SABANA PARA QUE SEAN HABILITADOS PARA TRÁNSITO VEHICULAR EN ÉPOCA DE VERANO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de Hato Corozal - Casanare (Fuente: DANE – Certificada)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red vial secundaria del Municipio tiene una longitud de 161 km de los cuales 88 están en afirmado y 73 km en destapado la mayoría en regular estado; de otro lado, la red vial terciaria tiene una longitud aproximadamente de 530 km aproximadamente, de los cuales 40.5 km están en afirmado, 230 km en destapado en regular estado y 300 km aproximadamente en pésimo estado, los cuales no se encuentran en condiciones óptimas para ser transitadas, puesto que son caminos carreteables que no cuentan con una estructura definida, pero que son el único medio de transporte y de acceso entre el área rural y urbana. 
La Ley 715 de 2001 en el artículo 76.4.1.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Actualmente la malla vial del Municipio presenta deficiencia en su infraestructura, existiendo limitaciones por falta de obras como; Puentes, Obras de Arte, Obras de Protección, reposición de afirmado, mejoramiento de vía, conformación de la bancada, pavimentación, construcción entre otras.
Es evidente que debido a la gran extensión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cuenta con una gran limitación al desarrollo o producción de la zona, hecho que genera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El 70% de la red vial terciaria, se encuentra ubicada en el sector sabana, por lo que su condición topográfica es plana, la falta de mantenimiento y rehabilitación de la malla vial terciaria, y los influyentes periodos invernales, han generado dificultad en la intercomunicación de la población rural de las veredas más alejadas con el casco urbano del municipio; estas vías en época de invierno es difícil su accesibilidad y transitabilidad ya que son sabanas inundables, sin ningún tipo de obras de arte y sin terraplén, lo que ha provocado pérdida total de la sub rasante de la vía. 
Teniendo en cuenta lo anterior, se requiere realizar el mantenimiento de las vías terciarias del sector sabana mediante el rastrillado con tractor, debido a que por esta época del año se pueden intervenir la mayor parte de las vías, puesto que el nivel freático del suelo ha disminuido considerable, además es importante mantener habilitado este corredor vial, en tanto que el mismo se constituye en la única alternativa para desplazarse la totalidad de los habitantes del sector.
Por lo anterior, es necesario contratar los servicios de horas máquina de un tractor, para realizar el rastrillado de las vías ubicadas en las siguientes veredas y corregimientos: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vereda Las Tijeras, vereda puerto Colombia, vereda suni, vereda corocito , y con ello habilitarlas para que se movilicen los automotores que transitan sobre estas vías, beneficiando a las comunidades de esta región, por lo que se hace necesario atenderlos con prontitud para garantizar el desplazamiento normal de los habitantes de las veredas más distantes a los lugares de interés de la comunidad donde se desarrollan sus actividades laborales, comerciales y sociales.
Es conveniente, de acuerdo a la necesidad planteada, realizar el mantenimiento y mejoramiento a las vías terciarias del Municipio mediante el rastrillado con Tractor, puesto que de esta manera se beneficiarán las comunidades con una mayor accesibilidad y transitabilidad en las vías, permitiendo el desarrollo, reduciendo costos, tiempos de viaje y fundamentalmente mejorando la calidad de vida, además de dar solución y respuesta a la población del municipio, de los cuales en época de verano hacen solicitudes de mejoramiento de estas vías pues se han visto afectados por el mal estado de estas.
De igual manera se da cumplimiento a las obligaciones y competencias propias de la Entidad Territorial en materia de transporte, la Ley 715 de 2001, establece como competencias del Municipio, lo siguiente: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estas le sean transferidos directamente o indirectamente.
Planear e identificar prioridades de infraestructura de transporte en su jurisdicción y desarrollar alternativas viables.
Es conveniente adelantar un proceso de contratación con una persona natural o jurídica que disponga de capacidad técnica, operativa y administrativa, con el fin de alcanzar los propósitos enmarcados dentro de la Constitución Política de Colombia y que hacen referencia a un mejoramiento en el estado de la calidad de vida de la Población del municipio en general, pretende garantizar que las comunidades campesinas del sector rural tengan el debido y cómodo acceso por medio del transporte terrestre a la zona urbana, para que puedan comercializar sus productos y de la misma forma ingresar nuevamente hacia sus parcelas de una manera digna.
Igualmente conviene contratar el objeto del presente estudio previo, toda vez que de esta manera se aporta al cumplimiento de las metas y objetivos trazados en el plan de desarrollo Municipal “HATO COROZAL ALTO Y SOSTENIBLE 2020 – 2023” para la vigencia 2020 – 2023, los se encuentran enmarcadas en el Programa: HATO COROZAL ALTO Y SOSTENIBLE CON MOVILIDAD PARA TODOS, cuyo objetivo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Es oportuno realizar este proceso de contratación, debido a que a través del servicio se ejecutarán los mantenimientos periódicos de las vías terciarias sector sabana del Municipio mencionadas en el presente estudio previo y las características que presenta la problemática planteada, requieren una solución rápida y oportuna, con la unión establecida entre la Comunidad Corozaleña y el Municipio de Hato Corozal, para sacar adelante el proyecto en mención y con el aporte del Municipio que es básico, social, funcional y oportuno.
Finalmente es oportuna la contratación de servicios del presente estudio previo en tanto que existe la disponibilidad presupuestal con cargo al presupuesto de ingresos y gastos de la vigencia presupuestal 2022 y además esta contratación fue incluida en el Plan anual de Adquisiciones de la presente vigencia.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Planeación y Política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Mediante el presente proceso el Municipio de Hato Corozal, bajo la administración “ALTO Y SOSTENIBLE” y con el ánimo de fortalecer los programas de mejoramiento de redes viales terciarias a cargo del municipio, busca contratar la rehabilitación de las vías o caminos reales que se encuentran en las veredas y corregimientos descritos a continuación: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y vereda Las Tijeras.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Disponer de los insumos, equipos, maquinaría y personal necesario para el cumplimiento del objeto contractual de acuerdo a las especificaciones técnicas.
2)	Realizar el mantenimiento del trazado vial rural de acuerdo a los tramos descritos en las especificaciones técnicas, durante una intensidad horaria de 295 horas máquina.  
3)	Realizar registro de control fotográfico de cada uno de los tramos de vías intervenidos.
4)	Presentar un informe final de liquidación del contrato.
5)	Presentar recibo a satisfacción firmado por miembros de la Juntas de Acción Comunal en representación de las comunidades en donde se realizaran las actividades de mejoramiento de las vías mediante rastrillado.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El proyecto se encuentra formulado en la Metodología General Ajustada (MGA).
4. Certificado de la Secretaría de Planeación y Política Sectorial que indique que el proyecto está incluido dentro del Plan de Desarrollo Municipal HATO COROZAL ALTO Y SOSTENIBLE 2020-2023”.
5. Acuerdo No. PTA 200-02-003 del 30 de mayo de 2020 “Por medio del cual se adopta el Plan de Desarrollo del Municipio de Hato Corozal, para el periodo 2020-2023 y se dictan otras disposiciones”.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Con el fin de establecer el presupuesto oficial del presente proceso, la Alcaldía de Hato Corozal a través de la Secretaria de Planeación y Política Sectorial solicitó tres cotizaciones a personas y/o empresas que prestan este servicio, quienes cotizaron el servicio a contratarse de acuerdo a las especificaciones señaladas en las especificaciones técnicas de la máquina a utilizar. Para establecer el valor de mercado de los bienes solicitados se tomó como referencia la cotización de menor valor, la cual asciende a la suma de NOVENTA Y CUATRO MIL NOVECIENTOS PESOS M/CTE ($ 94.900) servicio de hora máquina. Se anexan cotizaciones las cuales hacen parte del estudio previo, de igual manera el estudio del mercado. El valor del presupuesto comprende los costos directos e indirectos, incluyendo los impuestos, tasas, contribuciones de carácter nacional, departamental y municipal, y demás costos inherentes.	
                                           HABILITACIÓN DE VÍAS SECTOR SABANA 
ITÉM	                                             ACTIVIDAD	                                                          UNIDAD	CANTIDAD	VR. TOTAL	
   1            Servicios De Horas Máquina (Tractor con rastra y pala) a Todo Costo                  Hora/km                  295          $27.995.500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7 x mil del valor total del contrato.
•	Sobretasa Bomberil el 6 x mil del valor total de industria y comercio.
•	2000 papelería.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LOS SERVICIOS DE HORAS MAQUINA TRACTOR A TODO COSTO PARA REALIZAR EL MANTENIMIENTO DE LA RED VIAL TERCIARIA MEDIANTE RASTRILLADO EN LE SECTOR SABANA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Zona rural, veredas y corregimientos: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y vereda Las Tijeras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27.995.500,00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EDISSON FERNEY AYA PANQUEVA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17356563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CELY ALBARRACIN FABIAN ANTONIO</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1115690695</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EDISSON FERNEY AYA PANQUEVA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0</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2022-00085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