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F41.2.3.2.02.02.005.2402041.2020851250017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recuperar el paso peatonal de vía terciaria rural, afectado por el deterioro, en la vereda brillante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6662 Habitantes de la zona rural del Municipio de Hato Corozal que residen de manera permanente en veredas (fuente: proyecciones del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8</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El Artículo 2 de la Constitución Política establece como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El municipio de hato corozal, es uno de los municipios de Casanare, con mayor problema de transitabilidad entre las comunidades del sector rural y el casco urbano del municipio; lo cual, conlleva a que las comunidades presenten unos altos niveles de atraso en los principales indicadores de calidad de vida; la causa principal es la falta de infraestructura vial en el sector rural, afectando el desarrollo agropecuario.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que deben ser garantizados por el estado y en este caso por el Municipio de Hato Corozal.
El municipio de Hato Corozal, como ente territorial, de conformidad con lo previsto en el Artículo 311 de la Constitución Política de Colombia, tiene como fin primordial prestar los servicios públicos que determine la Ley, construir las obras que demande el progreso local, ordenar el desarrollo del territorio, promover la participación comunitaria, el mejoramiento social y cultural de sus habitantes y cumplir las demás funciones que le asigne la Constitución y la Ley. Dentro del Plan de desarrollo “2020-2023 Hato Corozal Alto Y Sostenible” LÍNEA ESTRATÉGICA 2: HATO COROZAL ALTO Y SOSTENIBLE CON GENERACIÓN DE EMPLEO, INFRAESTRUCTURA Y VIVIENDA, sector de competencia: TRANSPORTE, programa HATO COROZAL ALTO Y SOSTENIBLE CON MOVILIDAD PARA TODOS, para brindar unas buenas condiciones de acceso y transitabilidad a los diferentes lugares a los habitantes del municipio, y en particular en el área rural, proporcionando a la comunidad un desarrollo humano integral y sostenible que contribuya a mejorar su calidad de vida
Los Municipios determinarán con claridad la misión, propósito y metas de cada una de sus dependencias o entidades, dando cumplimiento al principio de eficacia; así mismo deberán optimizar el uso de los recursos financieros, humanos y técnicos, definir una organización administrativa racional que les permita cumplir de manera adecuada las funciones y servicios a su cargo, aplicando el principio de eficiencia
La secretaria de Planeación y Política Sectorial del municipio de Hato Corozal, es la encargada de liderar la política de Infraestructura en el Municipio, promoviendo la realización de obras de interés para el desarrollo del municipio en general; uno de los campos de acción es propender por la conservación, mejoramiento y construcción de la red vial del municipio y demás obras físicas plasmadas en el plan de desarrollo, así como, apoyar la acción municipal en sus propios procesos de desarrollo de infraestructura. Esta secretaria realiza la evaluación de necesidades en infraestructura vial y tiene como deber identificar, evaluar y cuantificar técnicamente la magnitud del problema en infraestructura, para de esta manera proyectar la solución técnica más adecuada a cada una de las situaciones presentadas y manifestadas por la comunidad, buscando dar cumplimiento a las metas proyectadas en el Plan de Desarrollo Municipal.
El Municipio de Hato Corozal – Casanare a través de la Secretaria de Planeación y Política Sectorial ha recibido solicitudes por parte de la comunidad de la vereda el brillante y veredas vecinas donde solicitan visita técnica para determinar acciones sobre el puente del caño los patos debido al deterioro presente, ante las solicitudes la entidad realiza informe del estado en el que se encuentra, informando que respecto al mantenimiento del paso peatonal sobre el caño los patos; son necesidades básicamente se concentran en el adecuamiento general, justificadas por el tránsito permanente de las diferentes comunidades que residen en el sector, lo cual obliga al Municipio, a realizar mantenimiento paso peatonal o reparaciones, ya sea con recursos propios.
En atención a lo explicado anteriormente la presente dependencia realizó visita técnica y recorrido, mediante el cual identificó las diferentes necesidades que tiene respecto al sector vial la vereda el brillante, viendo la necesidad de intervención con obras de arte por parte de la administración municipal, a la vía que conduce de corralito a caño mochuelo y la via de Cravo norte a caño mochuelo, ya que esta via es al única que le garantiza salir a la comunidades a un centro de abastecimiento de mercados, alimentos entre otros productos, mas cercano estando ubicado en el departamento de Arauca, ya que el mismo municipio de hato corozal esta a una distancia mas lejana, esta via cuenta con una bancada en material local para la vereda el brillante que permite la transitabilidad de motocicletas que son las mas transitadas y vehículos livianos, sin embargo en época de invierno se ve afectada por la falta de obras adecuadas que permitan el paso de aguas de escorrentías naturales, afluentes pequeños que ser generan en esta estación y en ocasiones comunicación de zonas planas que contienen agua y un drenaje imperfecto. 
Con la información recolectada es de gran necesidad para la comunidad el mantenimiento del paso para el caño los patos ya que en invierno el transito de motocicletas se realiza con mayor frecuencia ya que su transitabilidad es concurrente, ya que los vehículos no pueden transitar, debido a que en puntos donde el agua se estanca la via no permite el paso de vehículos ya que se arriesgan a quedar enterrados, es la única via de acceso que permite la conexión vial entre los finqueros y comunidades indígenas y el casco urbano del municipio de Cravo norte, donde se proveen de alimentos, elementos hospitalarios, insumos agrícolas, remesas del diario vivir, por su transitabilidad constante la via se ha ido deteriorando, situación que hace que la comunidad en época de invierno quede incomunicada en el caño los patos ya que su infraestructura esta en deterioro y el nivel de agua sobre pasa el nivel mas alto, falta de algunas obras de arte con sus respectivos desagües, falta de mantenimiento preventivo, cabe resaltar que esta via es considerada terciaria por ende es municipal, via de gran importancia para la vereda por la entrada y salida de mercados, abastecimientos y de movilización comunitaria y ganadera. 
Es necesario la realización de un proceso donde se pueda solucionar de alguna manera el requerimiento de la Comunidad de la Vereda el Brillante que va hacer la más beneficiada, el paso peatonal que se encuentra ubicado en el caño los patos, Vereda El Brillante, presenta un deterioro debido a la putrefacción de la madera debido a la humedad el cual necesita el cambio ya que afecta la movilidad de los estudiantes para que puedan acceder al derecho de la educación de forma segura, así como también se beneficiaran los habitantes de otras comunidades como las siguientes veredas: Vereda Villa Nueva, Vereda Corralito, Vereda la Reserva y del resguardo indígena: Getsemaní, Morichito y Mochuelo. Por lo cual la Administración Municipal, busca los mecanismos y herramientas más eficaces para atender los problemas que se presentan, a fin de planificar el desarrollo de todo el Municipio y la región y fortalecer los diferentes sectores, de esta forma con las actividades a realizar se dará solución a la obra existente el cual se encuentra en total deterioro; la comunidad de este sector podrá circular normalmente sobre la estructura teniendo un grado de confiabilidad alto; y su tránsito fortalecerá sus condiciones de vida, para la movilidad de sus productos de una forma más eficiente y segura; de esta manera se contribuye a dar solución de alguna de las problemáticas que tienen las comunidades en estos lugares de nuestro municipio los cuales son lugares muy apartados y por lo tanto sus comunicación vial son bastante complejas.
Es prioritario mejorar la calidad de vida de los habitantes contribuyendo al desarrollo del Municipio en toda su extensión tanto en el área urbana como rural; mejorando su infraestructura vial donde los beneficios económicos, sociales a mediano y largo plazo son incuantificables. El proyecto se convierte en la herramienta básica para dar cumplimiento al Plan de Desarrollo Municipal 2020 – 2023 “Alto y Sostenible”. La ejecución del presente contrato es conveniente ya que con él se aporta al cumplimiento a las metas y objetivos trazados en el Plan de Desarrollo en el sector de vías y transporte, se mejorarán las condiciones de tránsito y comodidad de la población del área rural del municipio, en cada uno de los sectores a intervenir, contribuyendo de manera positiva al desarrollo del municipio. Conviene al municipio la realización de este proyecto, porque de esta manera se atiende diferentes requerimientos de la comunidad del sector rural, que han sido afectadas a lo largo del tiempo. 
Es oportuno para el municipio la ejecución del presente proceso a sabiendas que se cuenta con recurso presupuestal, que además es tiempo de favorable de trabajo de campo y estas situaciones harían que la obra se ejecute sin contratiempos y dentro el tiempo establecido, por lo tanto, se genera una solución eficaz y eficiente a las necesidades expuestas por las comunidades de los sectores afectados.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De Hato Corozal, en cabeza del gobierno “Alto y Sostenible” y con el ánimo de recuperar la infraestructura vial del área rural, ha decidido contratar: MANTENIMIENTO DE PASO PEATONAL EN MADERA SOBRE EL CAÑO LOS PATOS, VEREDA EL BRILLANTE DEL MUNICIPIO DE HATO COROZAL – CASANARE.
El paso peatonal en madera sobre el caño los patos, Vereda El Brillante se relaciona con una luz de L=54 m y sección de bajantes de 3 metros de longitud y un ancho=1.50m, se utilizaran viga longitudinal en madera nativa de la misma region de 0.20 m x 0.15 m x 3.00 m y tablones en madera de la misma region de 0.30 m x 0.05 m x 1.50m.</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el adecuado cumplimiento del objeto MANTENIMIENTO DE PASO PEATONAL EN MADERA SOBRE EL CAÑO LOS PATOS, VEREDA EL BRILLANTE DEL MUNICIPIO DE HATO COROZAL – CASANARE. sin perjuicio de las demás estipuladas en el respectivo contrato, así como las que por su esencia y naturaleza le correspondan y las consagradas en las disposiciones legales y reglamentarias sobre la materia, el contratista de la oferta seleccionada o representante legal o el delegado para su representación, deberá ejecutar las siguientes actividades como parte de sus obligaciones.
Las actividades a desarrollar serán las siguientes:
•	Excavación a mano en material común
•	Tablón para piso 0.05 x 0.30 x 1.5 m
•	Viga longitudinal en madera 0.15x 0.20 x 3.00 m
•	Columna en concreto de resistencia 3000 psi
•	Viga de amarre para cimentación en concreto de 3000 Psi
•	Acero de Refuerzo Grado 37
•	Acero de Refuerzo Grado 60
Las Obligaciones a desarrollar serán las siguientes:
Obligaciones del Municipio:
• Girar los recursos disponibles y acordados en el presente Contrato de obra.
• Realizar Supervisión Técnica y Administrativa.
• Verificar que los bienes y servicios cumplan las normas exigidas vigentes y condiciones contractuales.
• El plazo del Contrato será de Un (01) mes para el desarrollo del Objeto Contractual.
Por parte del ejecutor:
•Realizar y ejecutar el contrato dentro de los plazos y términos establecidos y acordados entre las partes.
•Allegar las garantías exigidas.
•Los materiales a utilizar deberán ser de primera calidad y adquiridos en una carpintería que cuente con sus respectivos permisos de funcionamiento.
•Informar y conceptuar en forma continua sobre el avance, problemas y soluciones, en el desarrollo del contrato.
•Realizar registro de control fotográfico, fílmico y/o magnético, integrando un expediente del contrato.
•Afiliar a los trabajadores que emplee para la ejecución de las obras objeto del presente contrato, al sistema integral de seguridad social de manera tal que se garantice cada uno de sus componentes, de acuerdo a lo establecido en las leyes 100 de 1993, 776 y 789 de 2002 y 797
y 828 de 2003.
•La obra deberá ser entregada dentro del tiempo establecido y con una ejecución del 100%.
•Presentación de informe y actas de obra, actas de entrega a la comunidad, previo visto bueno del supervisor.
•Presentación acta de liquidación final, previo visto bueno del supervisor.
•El Contratista deberá tomar las precauciones necesarias para la seguridad del personal a su
cargo o servicio y los transeúntes, de acuerdo a las reglamentaciones vigentes en el país.
•Durante y a la terminación de la obra el Contratista deberá retirar el material sobrante y
entregar la obra en perfecto estado de limpieza.
•Señalizar y mantener la excelente adecuación locativa, con el fin de evitar accidentes en el
sector contratado.
•Ejecutar las actividades de acuerdo a las normas técnicas.
•Aportar su capacidad administrativa, técnica y operativa para el desarrollo del objeto
contractual.
•Disponer de los insumos, equipos, maquinaria y personal necesario para el cumplimiento del
objeto contractual de acuerdo a las especificaciones técnicas.
•Presentar las garantías que le sean solicitadas.
•Reemplazar los elementos defectuosos o que no cumplan con las especificaciones exigidas dentro de las cuarenta y ocho (48) horas siguientes a la fecha de la comunicación del supervisor del contrato, de acuerdo con los procedimientos que para tal objeto se definan por
parte de la entidad contratante.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Anexo especificaciones tecnicas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CONSTRUCCIÓN, MANTENIMIENTO y AMPLIACIÓN PARA EL MEJORAMIENTO DEL SECTOR VIAL, DEL MUNICIPIO DE HATO COROZAL, elaborado y viabilizado por la Secretaria de Planeación y Política Sectorial, inscrito en el Banco de Programas y Proyectos del Municipio de Hato Corozal, con código BPIM No. 2020-85125017.
2. Además el proyecto se encuentra enmarcado en el Plan de Desarrollo Municipal “HATO COROZAL ALTO Y SOSTENIBLE 2020 - 2023”, Sector de Competencia: Transporte; Programa: HATO COROZAL ALTO Y SOSTENIBLE CON MOVILIDAD PARA TODOS, cuyo Meta Resultado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3. El proyecto se encuentra formulado en la Metodología General Ajustada (MGA).
4. Certificado de la Secretaría de Planeación y Política Sectorial que indique que el proyecto está incluido dentro del Plan de Desarrollo Municipal HATO COROZAL ALTO Y SOSTENIBLE 2020-2023”.
5. Acuerdo No. PTA 200-02-003 del 30 de mayo de 2020 “Por medio del cual se adopta el Plan de Desarrollo del Municipio de Hato Corozal, para el periodo 2020-2023 y se dictan otras disposiciones”.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
Es importante resaltar que los materiales pétreos o de construcción a utilizar, deberán ser adquiridos en fuentes legalizadas ante Ingeominas y Corporinoquia, para lo cual el supervisor deberá velar por el estricto cumplimiento de lo mencionado.</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valor del presupuesto oficial se ha calculado con base en los requerimientos técnicos del proyecto, con base en los precios de referencia de la Secretaria de Planeación y Política Sectorial de la Administración Municipal, la cual cuenta con la sistematización de la información en bases de datos bajo la plataforma Microsoft Acces, en CONSTRUPLAN NG versión 1.5 de LEGIS S.A – CONSTRUDATA, este contiene las diferentes actividades con sus rendimientos por ítem, su base de insumos se actualiza por medio de estudio de mercado local y grandes proveedores nacionales, costos de transporte y facilidad de adquisición.
El presupuesto se obtuvo de acuerdo a los precios de mercado que aplican para la región, considerando como variables los insumos, costos de insumos, transporte de insumos, rendimiento de insumos, rendimiento de la mano de obra, valor de la mano de obra, equipos y herramientas contemplado su desplazamiento, teniendo en cuenta las citadas variables, como se contemplaron los análisis de precios unitarios los cuales fueron multiplicados por la cantidad a ejecutar; los rendimientos y algunos insumos utilizados están basados en las actividades y precios establecidos en la base de datos de la Gobernación de Casanare. (Resolución 0125 del 23 de Julio de 2021).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TREINTA MILLONES DE PESOS MCTE ($ 30.000.000,oo), producto de las cantidades de obra por el valor unitario de cada una de las actividades consideradas, incluyendo los costos de mano de obra, equipo, transporte, así como de los costos causados por la Administración, los imprevistos y la utilidad (AIU 32%).
Ver Anexo: Presupuesto general y formularios de presupuesto.
El proponente deberá verificar previa a la presentación de la propuesta, las distancias posibles, fuentes de materiales en el área de influencia del proyecto; así como verificar que éstas se encuentran en funcionamiento y que cumplen con todos los requisitos legales, de tal forma que pueda garantizar la ejecución proyecto. En consecuencia las distancias de acarreo correspondientes deberán ser consideradas por el proponente en los análisis de precios unitarios de la propuesta a presentar, a continuación fuentes de materiales:
FUENTE DE LOS MATERIALES
Para la ejecución de las obras, los materiales pétreos utilizados serán transportados desde la fuente (rio o cantera) y zonas de extracción de material de arrastre MÁS CERCANA AL SITIO DE LA OBRA; que cuentan con sus respectivas licencias y permisos ambientales autorizados por la autoridad ambiental competente Ingeominas y Corporinoquia. Los materiales usados deben cumplir con los requerimientos y especificaciones según la norma NSR-10 y lo descrito en los documentos precontractuales, además deberán ser avalados, verificados y aprobados por el supervisor de la obra.
Las fuentes y distancias consideradas para la consecución de materiales en el Presupuesto, estas deberán ser verificadas y aprobadas por el supervisor de la obra:
Fuentes consideradas para la consecución de materiales en el presupuesto:
•Fuente: Cantera Hato Corozal
Ubicación: Finca Torquemada (6 km del casco urbano) vía a Puerto San Salvador. Cantera utilizada para el paso peatonal del caño los patos de la vereda el brillante. 
Tipo de material: Piedra, afirmado, arena y material pétreo en general
via: secundaria hato corozal - puerto Colombia, seguido por via terciaria puerto Colombia - corralito - puente Cravo norte - caño mochuelo 
De acuerdo a lo anterior,  es importante tener en cuenta que las fuentes de materiales evaluadas y recomendadas en los estudios y diseños del presente proyecto, están sujetas a modificación cuando por alguna razón al momento de ejecutar las obras se llegase a presentar una fuente nueva que no pudo ser evaluada en su momento, que cumpla los parámetros técnicos establecidos por la normatividad vigente para ello y su distancia sea más corta a alguna de las fuentes recomendadas; o en su defecto que a la hora de iniciar los trabajos la fuente de materiales que se tomó como referencia no cuenta con los materiales pétreos o no cumple con la normatividad vigente; todo lo anterior deberá ser evaluado y avalado por el supervisor de la Obra con el objeto de velar por la correcta utilización y optimización de los recursos financieros asignados al proyecto.
Nota: Los materiales de arena, piedra, triturado, Material de rio sin seleccionar serán llevados de las fuentes antes mencionadas; si el contratista seleccionado tiene sus propias fuentes y no utiliza las que están referenciadas en este estudio previo, el Municipio de Hato Corozal no reconocerá el sobre acarreo o distancias mayores a las establecidas y el Contratista asumirá el costo del transporte o la distancia extra y el supervisor solo computara la distancia que se hayan definido los sitios respectivos y para los diferentes materiales.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4,0% del valor total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relacionó  los riesgos  previsibles  involucrados  en la presente contratación, con el propósito de incluirlos  dentro de la ecuación contractual, asignando  directrices  para su tratamiento, al tenor  de lo previsto por el artículo 27 de la Ley 80  de 1993, según  el cual &amp;amp;quot;En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MANTENIMIENTO DE PASO PEATONAL EN MADERA SOBRE EL CAÑO LOS PATOS, VEREDA EL BRILLANTE DEL MUNICIPIO DE HATO COROZAL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Sector rural del municipio de Hato Corozal, vereda el brillante
se anexa ubicación y descripción de cada obra a realizar en su respectiva vereda.</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el cien por ciento (100%) del valor del contrato contra entrega, previa autorización del supervisor y  suscripción del acta de terminación, acta de liquidación y del recibo a satisfacción por parte del municipio, para lo cual requerirá que el contratista presente un informe final con el mismo contenido y alcance definido para los informes parciales, anexando además el paz y salvo de cada uno de los trabajadores por todo concepto, paz y salvo de las empresas de servicios públicos y demás que la administración crea convenientes, el comprobante de pago del impuesto de timbre correspondiente al valor total de las actas de ajuste definitivo del contrato (cuando a ello hubiere lugar) e igualmente los Comprobantes de pago en donde se demuestre el cumplimiento por parte del Contratista de sus obligaciones frente al Sistema de Seguridad Social Integral y parafiscales (Cajas de Compensación Familiar, Sena e ICBF).
PARÁGRAFO: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