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CONSULTORÍA No. 0196</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0196</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2021-12-06</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SANTOVAL STEPA Y PEREZ S.A.S.</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900022428-8</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2021-12-30</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Dos  (2) MESES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2022-12-02</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Dos  (2) MESES Y Quince  (15)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REALIZAR INTERVENTORÍA TÉCNICA, ADMINISTRATIVA, CONTABLE, AMBIENTAL, Y JURIDICA DEL OBJETO CONTRACTUAL “CONTRUCCION DE PUENTE HAMACA SOBRE CAÑO EL SAMUCO EN LA VEREDA EL SAMUCO DEL MUNICIPIO DE HATO COROZAL, DEPARTAMENTO DE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$17.650.000,00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Dos(02)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EDISSON FERNEY AYA PANQUEVA,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GERMAN LEONARDO PEREZ LOPEZ, identificado(a) con cédula de ciudadanía 79941105 de BOGOTÁ, representante legal de(l-la) SANTOVAL STEPA Y PEREZ S.A.S.</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CONSULTORÍA</w:t>
      </w:r>
      <w:r w:rsidR="004E4F94" w:rsidRPr="00F44E4F">
        <w:rPr>
          <w:rFonts w:ascii="Arial" w:hAnsi="Arial" w:cs="Arial"/>
          <w:sz w:val="18"/>
          <w:szCs w:val="18"/>
        </w:rPr>
        <w:t xml:space="preserve"> No. </w:t>
      </w:r>
      <w:r w:rsidR="002350F1">
        <w:rPr>
          <w:rFonts w:ascii="Arial" w:hAnsi="Arial" w:cs="Arial"/>
          <w:sz w:val="18"/>
          <w:szCs w:val="18"/>
        </w:rPr>
        <w:t>0196</w:t>
      </w:r>
      <w:r w:rsidR="005048A9" w:rsidRPr="00F44E4F">
        <w:rPr>
          <w:rFonts w:ascii="Arial" w:hAnsi="Arial" w:cs="Arial"/>
          <w:sz w:val="18"/>
          <w:szCs w:val="18"/>
        </w:rPr>
        <w:t xml:space="preserve"> del </w:t>
      </w:r>
      <w:r w:rsidR="00A66732">
        <w:rPr>
          <w:rFonts w:ascii="Arial" w:hAnsi="Arial" w:cs="Arial"/>
          <w:sz w:val="18"/>
          <w:szCs w:val="18"/>
        </w:rPr>
        <w:t>2021-12-06 </w:t>
      </w:r>
      <w:r w:rsidR="005048A9" w:rsidRPr="00F44E4F">
        <w:rPr>
          <w:rFonts w:ascii="Arial" w:hAnsi="Arial" w:cs="Arial"/>
          <w:sz w:val="18"/>
          <w:szCs w:val="18"/>
        </w:rPr>
        <w:t xml:space="preserve">por un periodo de </w:t>
      </w:r>
      <w:r w:rsidR="00937D53">
        <w:rPr>
          <w:rFonts w:ascii="Arial" w:hAnsi="Arial" w:cs="Arial"/>
          <w:sz w:val="18"/>
          <w:szCs w:val="18"/>
        </w:rPr>
        <w:t>Dos  (2) MESES Y Quince  (15)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Recomienda la interventoría estar atentos a que una vez se superen las dificultades de transporte de los materiales, inmediatamente se proceda al desplazamiento de los mismos, para evitar que otros riesgos continúen generando nuevas suspensiones al contrato.</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EDISSON FERNEY AYA PANQUEVA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GERMAN LEONARDO PEREZ LOPEZ R/L SANTOVAL STEPA Y PEREZ S.A.S.</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