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2023-05-18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ALVAO BARAJAS, identificado(a) con cédula de ciudadanía 1032360394 de MONTERREY,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ASESORÍA JURÍDICA PARA REPRESENTAR JUDICIAL Y EXTRAJUDICIAL AL MUNICIPIO DE HATO COROZAL CASANARE EN LAS DIFERENTES JURISDICCIONES Y EN LAS DIFERENTES ENTIDADES PUBLICAS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$55.000.000,00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$55.000.000,00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ALVAO BARAJAS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ALVAO BARAJAS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0001 de 2023-01-13 cuyo Objeto: PRESTAR LOS SERVICIOS DE ASESORÍA JURÍDICA PARA REPRESENTAR JUDICIAL Y EXTRAJUDICIAL AL MUNICIPIO DE HATO COROZAL CASANARE EN LAS DIFERENTES JURISDICCIONES Y EN LAS DIFERENTES ENTIDADES PUBLICAS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