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2023-04-10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$24.985.000,00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Contratar los servicios funerarios para velar por el cumplimiento de los fines esenciales del Estado, además de las funciones de los municipios con las comunidades más vulnerables.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Estado Colombiano en el Titulo II de la Constitución Política de Colombia, garantiza los principios fundamentales y en su artículo segundo, consagra los fines esenciales del Estado, los cuales están enfocados principalmente al servicio de la comunidad, además de la protección que los ciudadanos deben recibir de las autoridades competentes, instituciones y entidades públicas en su vida, honra, bienes, creencias y en los demás derechos que prevé la Constitución Política.
La Ley 80 de 1993, establece en el artículo 3° de los fines de la Contratación Estatal. “Los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
De acuerdo a los principios fundamentales de la Constitución, las Entidades Territoriales deben desarrollar acciones con respeto a la dignidad y efectividad de los derechos de las personas; así como la protección que se debe prestar a las personas en su vida, honra, bienes, creencias y demás derechos consagrados en la Ley. (Constitución Política de 1991, artículo 2).
Como Entidades y autoridades, la función administrativa se encuentra al servicio de los intereses de los habitantes del territorio, en el marco del cumplimiento de los principios de “…”igualdad, moralidad, eficacia, economía, celeridad, imparcialidad y publicidad “…” (Constitución Política de 1991, artículo 209).
Para el caso de los municipios, a estos les corresponde la prestación de los servicios que sean determinados por la Ley, además del mejoramiento social y cultural de los habitantes, para lograr el cumplimiento de las funciones que sean asignadas por la Ley y la constitución. (Constitución Política de 1991, artículo 311). En concordancia con la Constitución, la Ley 1551 de 2012 moderniza la organización y el funcionamiento de los municipios, por lo tanto, dentro de sus funciones se encuentra la de solucionar y satisfacer las necesidades insatisfechas de los habitantes, en especial de los de especial protección (“…” niños, las niñas, los adolescentes, las mujeres cabeza de familia, las personas de la tercera edad, las personas en condición de discapacidad y los demás sujetos de especial protección constitucional.”). (Ley 1551 de 2012, artículo 6, numeral 7). En igual proporción las necesidades de la población víctima del conflicto armado, para así lograr el goce efectivo de sus derechos. (Ley 1551 de 2012, artículo 6, numeral 8).
Ahora bien, en referencia al régimen municipal y en relación al presupuesto, se deberá incluir dentro de las partidas presupuestales recursos para la inhumación de cadáveres de personas en condición de vulnerabilidad; en relación con lo preceptuado en el artículo 50 de la Ley 1448 de 2011; haciéndolo de obligatorio cumplimiento. (Decreto 1333 de 1986, artículo 268).
De conformidad a lo anterior, la Ley 1448 de 2011 “Por la cual se dictan medidas de atención, asistencia y reparación integral a las víctimas del conflicto armado interno y se dictan otras disposiciones.” Tiene como objetivo establecer un conjunto de medidas de carácter judicial, administrativo, social y económico para beneficiar a las personas que hayan sido víctimas del conflicto armado interno. (Ley 1448 de 2012, artículo 1). Dentro de las medidas de asistencia y atención a las víctimas, se encuentra la asistencia funeraria, la cual
En cumplimiento de su objeto y en desarrollo de sus facultades, las entidades territoriales, en concordancia con las disposiciones legales de los artículos 268 y 269 del Decreto-Ley 1333 de 1986, pagarán con cargo a sus presupuestos y sin intermediarios, a las víctimas a que se refiere la presente ley, los gastos funerarios de las mismas, siempre y cuando no cuenten con recursos para sufragarlos.
Parágrafo. Los costos funerarios y de traslado, en caso de que la víctima fallezca en un municipio distinto a su lugar habitual de residencia, serán sufragados por los municipios donde ocurrió el deceso y aquel en el que la víctima residía. (Ley 1448 de 2011, artículo 50).
De igual forma, resulta imperioso por parte de la Administración Municipal “Hato Corozal Alto y Sostenible 2020-2023” en cumplimiento de sus deberes legales y sociales, la consolidación de estrategias, programas, proyectos y acciones tendientes a mitigar las necesidades básicas insatisfechas de la población en general. Para el caso en concreto, contar con los servicios funerarios y exequiales para las personas en condición de vulnerabilidad que no cuenten con los recursos económicos su financiamiento. 
Información SISBEN población en condición de vulnerabilidad de la población del municipio de Hato Corozal Casanare.
Población vulnerabilidad A: 6.621- 65,33%
Población vulnerabilidad B: 2.955 – 29,16%
Población vulnerabilidad C: 4.38 -4,32%
Total usuarios: 10.135
De acuerdo con la información SISBEN IV fuente DNP 2023
Los servicios exequiales que se han requerido deben incluir el debido manejo seguro, desinfección, transporte y disposición de cadáveres cumpliendo los protocolos oficiales establecidos por el Ministerio de Salud y demás entidades cuando el caso lo amerite.
Adicionalmente y obedeciendo a la normatividad vigente, la Administración Municipal cuenta con la disponibilidad presupuestal en el Rubro N° 2.1.2.02.02.009 de nombre: SERVICIOS PARA LA COMUNIDAD, SOCIALES Y PERSONALES, cuya fuente de financiación es: INGRESOS CORRIENTES DE LIBRE DESTINACIÓN.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Secretaria General y de Gobierno requiere la contratación de los servicios exequiales, para atender a la población más vulnerable.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de vehículo, disponer del personal para el trámite operativo y disposición final de los fallecidos,  18 servicios dando cumplimiento de las especificaciones técnica.
a) Se deberá tener en cuenta los principios de precaución y dignidad humana al momento de manipular el cadáver.
b) El personal que interviene en el manejo, traslado y disposición final de los cadáveres asociados a la infección, deberá estar debidamente capacitado, se deberá garantizar las normas de bioseguridad el uso de los E.P.P. de acuerdo a lo establecido por el ministerio de salud.
c) El alistamiento del cadáver se debe realizar teniendo en cuenta el tipo de destino final sea sepultura o bóveda.
d) Se debe garantizar el manejo y la eliminación o disposición final de los residuos generados en proceso y manejo del cadáver.
2.Suministrar 19 cofres mortuorios o ataúdes de conformidad a las especificaciones técnicas.
3. Suministrar 03 bolsa en polietileno con cierre de 2.20 X 1.00 metros para embalaje y trasporte de cadáveres.
OBLIGACIONES
2.	Prestar atención oportuna a los requerimientos solicitados por la supervisión en desarrollo del objeto contractual.
3.	Presentar informe de actividades y factura legal y/o cuenta de cobro con V°B° del supervisor.
4.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85170000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85171500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para el periodo 2020 - 2023 ALTO Y SOSTENIBLE</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General y de Gobierno, teniendo en cuenta los siguientes aspectos:
1.	En el mes de febrero se solicitaron y recibieron Tres (03) cotizaciones de las empresas Grupo Funerales los ángeles S.A.S.B.I.C., Funerales la Viña del Señor y Manantial Previsión Exequial S.A.S.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Veinticuatro millones de novecientos ochenta y cinco mil Pesos M/Cte. ($24.985.000), con recursos del presupuesto Municipal de la vigencia fiscal 2023, prevenientes de la fuente: INGRESOS CORRIENTES DE LIBRE DESTINACION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FUNERARIOS EN LOS CASOS REQUERIDOS POR LA ADMINISTRACIÓN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 acta de terminación y liquidación,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Ocho  (8)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24.985.000,00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