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2022-04-06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2-37-IAP/2.3.2.02.02.009.400302002.2021851250012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SGP-AGUA POTABLE Y SANEAMIENTO BASICO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$13.994.400,00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A REDES DE ALCANTARILLADO Y SISTEMA DE TRATAMIENTO DE AGUAS RESIDUALES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A LOS POZOS DE INSPECCION  DEL SISTEMA DE ALCANTARILLADO DEL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 - Casanare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 su vez el artículo 5° de la ley 136 de 1994 que estable “son principios rectores de la Administración Municipal. 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El Artículo 311 de la Constitución Política establece que al Municipio como entidad fundamental de la División Político Administrativa del Estado le corresponde prestar los servicios públicos que determine la Ley, construir las obras que demande el progreso local, ordenar el desarrollo del territorio, promover la participación comunitaria y el mejoramiento social y cultural de sus habitantes y cumplir las demás funciones que le asignen la Constitución y las Leyes.
Dentro de los fines de la contratación estatal señalados en el articulo 3º de la ley 80 de 1993... las entidades buscan el cumplimiento de los fines estatales, la continua y eficiente prestación de los servicios públicos y la efectividad de los derechos e intereses de los administrativos que colaboran con ellas en la consecución de dichos fines.
La administración Municipal de Hato Corozal, contempla una serie de actividades encaminadas al desarrollo territorial en cuanto al diseño, mantenimiento y retiro de materia sedimental del sistema de alcantarillado debido a los problemas de inundación de la ptar en época de invierno; Programa: HATO COROZAL ALTO Y SOSTENIBLE CON AGUA LIMPIA Y MEJOR SANEAMIENTO BASICO, cuyo objetivo es la estrategia de gestión  por parte de la empresa de servicios públicos y la administración municipal realizar mantenimiento de redes de alcantarillado y sistemas de tratamiento de aguas residuales con el fin de mejorar el servicio en términos de calidad y continuidad. fortaleciendo a nuestras comunidades para que mejoren su calidad de vida, accediendo a servicios y oportunidades que deben ser garantizados por el estado y en este caso por el Municipio de Hato Corozal.
El municipio de hato corozal Casanare, atreves de la secretaria de planeación y política sectorial realiza la supervisión de la infraestructura que integra el equipamiento municipal, con el fin de identificar las necesidades de mejoramiento, adecuación y mantenimiento de las mismas, actualmente uno de los principales problemas que enfrenta hoy la administración municipal es la constante recepción de quejas, por parte de la comunidad y la empresa de servicios públicos, debido a que algunas tapas se encuentran destruidas y deterioradas, en los diferentes sectores del municipio, generando problemas ambientales, debido a los malos olores que generan las aguas servidas que circulan por las redes, ya que los pozos de inspección se encuentra destapados debido ala falta de tapas de alcantarillado, teniendo en cuenta la importancia de garantizar la calidad de vida de los ciudadanos, el transito vehicular urbano se evidencia la necesidad de realizar una intervención junto a la empresa de servicios públicos con el fin de realizar el mantenimiento adecuado, generando un ambiente sano, menos accidentalidad y el buen servicio requerido por la comunidad y visitantes del municipio.
La carencia de estos elementos como las tapas y sumideros, partes importantes del sistema de las redes de alcantarillado sanitario y pluvial, generan riesgo de accidentalidad tanto para los peatones como para los diferentes medios de movilidad, como los vehículos, bicicletas y motos.
la necesidad esta centrada en la falta de suministro e instalación de tapas de alcantarilla el espacio publico y los escenarios que hacen parte del mismo, en este sentido es pertinente identificar que el espacio publico defina la calidad del municipio, porque indica la calidad de vida de la gente y refleja la cultura y conducta de la ciudadanía
la empresa de servicios públicos (ephac), junto a profesionales de la secretaria de planeación y política sectorial, realizo visitas a los puntos críticos del municipio, donde se encuentran averiadas las tapas de alcantarillado, con el fin de evaluar la necesidad del cambio de estas tapas de alcantarillado, debido a que donde se encuentran averiadas es por donde hay mayor circulación de vehículos y peatones, anexando al presente estudio previo informe técnico de visita de red de alcantarillado, pretendiendo suministrar según inventario de necesidad 21 tapas para subsanar el impase.
por lo anterior expuesto, la administración municipal ALTO Y SOSTENIBLE 2020-2023 considera necesario realizar el suministro de tapas de alcantarillado con destino al mantenimiento  del equipamiento  del sistema de red de aguas residuales del municipio de hato corozal, Casanare.
el proyecto se encuentra relacionado en el Acuerdo No. PTA 200-02-003 del 30 de Mayo de 2020, el Concejo Municipal de Hato Corozal, aprobó y adopto el Plan de Desarrollo municipal “2020-2023 Hato Corozal Alto Y Sostenible”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EL SUMINISTRO TAPAS DE ALCANTARILLADO EN HIERRO FUNDIDO CON EL OBJETIVO DE LA REALIZACIÓN DE LA SUSTITUCION DE TAPAS QUE SE ENCUENTRAN ROTAS EN LAS VAIS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garantizar el cumplimiento del contrato dentro de termino establecido para ello.
2. garantizar la excelente calidad de los bienes a suministrar. 
3. atender los requerimientos de la supervisión.
4.presentar los documentos necesarios para la legalización y perfeccionamiento del contrato dentro de los términos establecidos 
5. pagar de su propia cuenta las tasas, impuestos, publicaciones, y contribuciones a que este obligado en virtud del contrato.
6.suministrar las tapas de alcantarilla en hierro fundido, cumplimiento con las especificaciones descritas en el presente estudio previo.
7. en caso de entregarse los artículos del suministro en estado defectuoso, proceder a su reposición en la menor brevedad posible.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200-02-003 del 30 de mayo de 2020 “Por medio del cual se adopta el Plan de Desarrollo del Municipio de Hato Corozal, para el periodo 2020-2023 y se dictan otras disposiciones”.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COLOMBIA. - LEY 80 DE 1993. - LEY 1474 DE 2011. - LEY 1150 DE 2007. - LEY 1712 DE 2014. - DECRETO 1082 DE 2015.
1.	El presente estudio se regula por los postulados de la Ley 80 de 1993 y sus decretos reglamentarios, Ley 1150 de 2007 su Decreto 1082 de 2015, Ley 1882 de 2018, Decreto 392 del 26 de febrero de 2018.
2.	Que el artículo 2 de la constitución nacional establece “Son fines del estado: servir a la comunidad, promover la prosperidad general garantizar la efectividad de los principios, derechos y deberes consagrados en la constitución…”
3.	Que de conformidad con lo dispuesto por los artículos 113 y 288 de la constitución nacional los diferentes órganos del estado tienen funciones separadas, pero colaboraran armónicamente para la realización de sus fines; 
4.	Que en virtud de los principios de coordinación y colaboración armónica el artículo 6 de la ley 489 de 1998 obliga a las autoridades administrativas a garantizar la armonía en el ejercicio de sus respectivas funciones y a prestar colaboración a las demás entidades para facilitar el ejercicio de sus funciones. 
5.	El régimen jurídico aplicable a la presente Convocatoria y al contrato que de ella se derive, será el previsto en los artículos 13, numeral 2 del artículo 32, numeral 4 del artículo 24 de la Ley 80 de 1993, numeral 3 del artículo 2 de la Ley 1150 de 2007.
De conformidad a la Ley 80 de 1993 corresponde a las entidades estatales:
 “ARTICULO 4o. DE LOS DERECHOS Y DEBERES DE LAS ENTIDADES ESTATALES. 
Para la consecución de los fines de que trata el artículo anterior, las entidades estatales: 
1o. Exigirán del contratista la ejecución idónea y oportuna del objeto contratado. Igual exigencia podrán hacer al garante.
2o. Adelantarán las gestiones necesarias para el reconocimiento y cobro de las sanciones pecuniarias y garantías a que hubiere lugar.
3o. Solicitarán la actualización o la revisión de los precios cuando se produzcan fenómenos que alteren en su contra el equilibrio económico o financiero del contrato.
4o. Adelantarán revisiones periódicas de las obras ejecutadas, servicios prestados o bienes suministrados, para verificar que ellos cumplan con las condiciones de calidad ofrecidas por los contratistas, y promoverán las acciones de responsabilidad contra éstos y sus garantes cuando dichas condiciones no se cumplan. Las revisiones periódicas a que se refiere el presente numeral deberán llevarse a cabo por lo menos una vez cada seis (6) meses durante el término de vigencia de las garantías.
5o. Exigirán que la calidad de los bienes y servicios adquiridos por las entidades estatales se ajuste a los requisitos mínimos previstos en las normas técnicas obligatorias, sin perjuicio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6o. Adelantarán las acciones conducentes a obtener la indemnización de los daños que sufran en desarrollo o con ocasión del contrato celebrado.
7o. Sin perjuicio del llamamiento en garantía, repetirán contra los servidores públicos, contra el contratista o los terceros responsables, según el caso, por las indemnizaciones que deban pagar como consecuencia de la actividad contractual.
8o. Adoptarán las medidas necesarias para mantener durante el desarrollo y ejecución del contrato las condiciones técnicas, económicas y financieras existentes al momento de proponer en los casos en que se hubiere realizado licitación o concurso, o de contratar en los casos de contratación directa. Para ello utilizarán los mecanismos de ajuste y revisión de precios, acudirán a los procedimientos de revisión y corrección de tales mecanismos si fracasan los supuestos o hipótesis para la ejecución y pactarán intereses moratorios. Sin perjuicio de la actualización o revisión de precios, en caso de no haberse pactado intereses moratorios, se aplicará la tasa equivalente al doble del interés legal civil sobre el valor histórico actualizado.
9o. Actuarán de tal modo que por causas a ellas imputables, no sobrevenga una mayor onerosidad en el cumplimiento de las obligaciones a cargo del contratista. Con este fin, en el menor tiempo posible, corregirán los desajustes que pudieren presentarse y acordarán los mecanismos y procedimientos pertinentes para precaver o solucionar rápida y eficazmente las diferencias o situaciones litigiosas que llegaren a presentarse.
Ley 80 de 1993: ARTÍCULO 32; Numeral 2o. Contrato de Consultoría. Son contratos de consultoría los que celebren las entidades estatales referidas a los estudios necesarios para la ejecución de proyectos de inversión, estudios de diagnóstico pre-factibilidad o factibilidad para programas o proyectos, específicos, así como a las asesorías técnicas de coordinación, control y supervisión.
Son también contratos de consultoría los que tienen por objeto la interventoría, asesoría, gerencia de obra o de proyectos, dirección, programación y la ejecución de diseños, planos, anteproyectos y proyectos
“ARTICULO 26. DEL PRINCIPIO DE RESPONSABILIDAD. En virtud de este principio:
1o. Los servidores públicos están obligados a buscar el cumplimiento de los fines de la contratación, a vigilar la correcta ejecución del objeto contratado y a proteger los derechos de la entidad, del contratista y de los terceros que puedan verse afectados por la ejecución del contrato.”</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el correspondiente estudio y estudio de mercado, se toma como soporte económico cinco (5) cotizaciones, que fueron solicitadas a personas jurídicas y naturales  del mercado con la experiencia y capacidad técnica en el área, las cuales forman parte integral del presente estudio previo.
se anexa presupuesto que se elaboro en la secretaria de planeación y política sectorial del municipio de hato corozal - Casanare, revisado y aprobado por el secretario, el ingeniero Edisson Ferney Aya Panqueva, de acuerdo a los precios del mercado que aplican para la region, donde se escogió el menor precio, obteniéndose valor unitario el cual se multiplico por la cantidad establecida en el presupuesto, estableciendo el presupuesto oficial por un valor  de TRECE MILLONES NOVECIENTOS NOVENTA Y CUATRO MIL CUATROCIENTOS PESOS M/CTE  ($ 13.994.400,00), el valor del presupuesto, incluye todos los costos directos e indirectos, incluyendo los impuestos, tasas, IVA y contribuciones de carácter municipal y demás contribuciones inherentes.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En razón a la naturaleza del objeto a contratar, se estima que la modalidad de selección del contratista será la dispuesta a continuación:
FUNDAMENTOS JURÍDICOS.
 A.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1º del Artículo 2°, establece que a la persona jurídica que se denomina entidad estatal descentralizada indirecta del orden municipal, su actividad contractual está sujeta al Estatuto General de Contratación de la Administración Pública y demás normas que la adicionen, modifiquen o deroguen.
B. La Ley 1150 de Julio (16) de 2007, por medio de la cual se introducen medidas para la eficiencia y la transparencia en la ley 80 de 1993 y se dictan otras disposiciones generales sobre la contratación con recursos públicos, establece
1) El artículo 1° establece que dicha norma tiene por objeto introducir modificaciones en la Ley 80 de 1993, así como dictar otras disposiciones generales aplicables a toda contratación con recursos públicos.
2) El numeral 5° del Artículo 2°, denominado CONTRATACIÓN MÍNIMA CUANTÍA, establece que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C. La Ley 1474 de Julio (12) de 2011, Por la cual se dictan normas orientadas a fortalecer los mecanismos de prevención, investigación y sanción de actos de corrupción y la efectividad del control de la gestión pública, establece:
1) Artículo 94. Transparencia en contratación de mínima cuantía. Adiciónese al artículo 2° de la Ley 1150 de 2007 el siguiente numeral.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D. La Ley 1450 de Junio (16) de 2011, Por la cual se expide el Plan Nacional de Desarrollo, 2010-2014, establece:
1) Artículo 274. Contratación mínima cuantía. Adiciónese al artículo 2° de la Ley 1150 de 2007, el siguiente
numeral:
&amp;amp;amp;quot;5) Contratación mínima cuantía.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Las particularidades del procedimiento previsto en este numeral, así como la posibilidad que tengan las entidades de realizar estas adquisiciones en establecimientos que correspondan a la definición de gran almacén; señalada por la Superintendencia de Industria y Comercio, se determinarán en el reglamento que para el efecto expida el Gobierno Nacional.
La contratación a que se refiere el presente numeral se realizará exclusivamente con las reglas en él contempladas y en su reglamentación. En particular no se aplicará lo previsto en la Ley 816 de 2003, y en el artículo 12 de la presente ley.</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revisara las ofertas económicas presentadas y verificara que la de menor precio cumpla con las condiciones previstas en la respectiva invitación y en el presente estudio de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INVITACION</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INVITACION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DE TAPAS DE ALCANTARILLADO EN HIERRO FUNDIDO EN CONCRETO DE 3000 PSI, EN LA PARTE INTERNA DE LA TAPA, PARA POZOS DE ALCANTARILLADO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cien por ciento (100%) del valor del contrato contra entrega, previa suscripción de entrada a almacén, acta de terminación y liquidación final del contrato para lo cual el contratista deberá presentar todos los soportes de pago de seguridad social y parafiscales cuando haya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13.994.400,00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EDISSON FERNEY AYA PANQUEVA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17356563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CELY ALBARRACIN FABIAN ANTONIO</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1115690695</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EDISSON FERNEY AYA PANQUEVA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