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F21.2.3.2.02.02.005.4003009.2021851250012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$149.983.293,00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AMPLIAR EL NÚMERO DE USUARIOS CON COBERTURA AL SERVICIO DE ACUEDUCTO RURAL EN EL CUATRIENIO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pozo profundo para la comunidad de mardue del resguardo indígena de caño mochuelo.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192 La población beneficiada corresponde en su totalidad a 192 usuarios que hacen parte de la comunidad de madue del resguardo indígena caño mochuelo,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BASI0CO”, se enfoca en el cumplimiento del mandato constitucional y legal previsto en la ley 142 de 1994; Con el Plan de uso Eficiente de y Ahorro del agua de acuerdo a lo previsto en el artículo 1 de la ley 373 de 1797 y como requisito para obtener permisos de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la captación de aguas subterráneas a través de Solución para uso doméstico del resguardo Indígena Mardue en sectores rurales dispersos en el Municipios de Hato Corozal, el cual está diseñado de acuerdo a las necesidades y que no cuentan con reservorios permanentes para realizar sus labores cotidianas y mejorar su calidad de vida.
Se  realizo  Carta  de  certificación  y  autorización  de potenciales  beneficiarios  proyecto: “APROVECHAMIENTO DE LAS AGUAS SUBTERRANEAS A TRAVES DE UNA SOLUCION PARA EL RESGUARDO INDIGENA MARDUE EN EL AREA RURAL DISPERSA DEL MUNICIPIO DE HATO COROZAL EN EL DEPARTAMENTO DE CASANARE”, Se reunieron en el resguardo indígena Mardue con los funcionarios de la Alcaldía de Hato Corozal del Departamento de Casanare, caracterizando el resguardo Indígena que son los beneficiarios del proyecto, en razón a los innumerables llamados de la comunidad quienes solicitan ayuda urgente para mitigar la fuerte sequía en época de verano la cual se extiende a lo largo de los meses diciembre, enero, febrero, marzo y abril.
Por otro lado mediante acción Popular de fecha radicado No. 85001-2333-000.000505-00 de fecha 5 de septiembre del 2020;   le Ordenan al gobierno Departamental, en sus diversos ejercicios de planificación, ha concertado y formulado el respectivo Plan de Desarrollo: HATO COROZAL ALTO Y SOSTENIBLE 2020-2023, todo esto es la base fundamental para la formulación de proyectos encaminados a desarrollar los diferentes sectores, con el fin de realizar  la  situación  actual  la  calidad  de  agua  que  se  toman  y  sistemas  o  fuentes  de abastecimiento  así  como  las  recomendaciones  para  suministrar agua  potable  a  dicha población. Con la finalidad de mantener una situación cordial con la comunidad se realizarán reuniones de seguimiento y socialización de los avances, atrasos y dificultades.
Teniendo en cuenta el planteamiento, se realiza la identificación del tipo de población que están inmerso en el problema y que se relaciona con la ejecución del proyecto, el primero encierra la población referencia, es decir, los 192 personas que conforman el resguardo indígena Mardue del Municipio de Hato Corozal, de acuerdo al Censo Nacional de 2021, que no tienen la necesidad de contar con una fuente de agua segura para su consumo y no poder desarrollar sus proyectos productivos; 192 personas que comprende a la población Total del Resguardo, afectados directamente por el problema central.
Dado que el proyecto está dirigido a construir al menos una infraestructura para el acceso al abastecimiento de agua segura, se tiene que la población objetivo, y conforme con la Proyección de la población a nivel municipal (SISBÉN) es de 192 personas del Resguardo Indígena.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“APROVECHAMIENTO DE LAS AGUAS SUBTERRANEAS A TRAVES DE LA CONSTRUCCION DE POZO PROFUNDO PTAP, PARA LA COMUNIDAD DE MARDUE DEL RESGUARDO INDIGENA DE CAÑO MOCHUELO, DEL MUNICIPIO DE HATO COROZAL DEPARTAMENTO DE CASANARE” con el objetivo de garantizar que las viviendas y familias cuenten con el servicio de agua en el área rural y que cumpla con los requisitos de acuerdo a su función. Donde se desarrollaran las siguientes actividades:
- construcción pozo profundo.
- sistema de succión y almacenamiento.
- sistema de potabilización y almacenamiento.
- Tuberías 
- Pozos profundos
- Equipos y electrobombas
- Instalaciones eléctricas 
- Instalaciones hidráulicas  
- Tanque elevado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APROVECHAMIENTO DE LAS AGUAS SUBTERRANEAS A TRAVES DE LA CONSTRUCCION DE POZO PROFUNDO PTAP, PARA LA COMUNIDAD DE MARDUE DEL RESGUARDO INDIGENA DE CAÑO MOCHUELO, DEL MUNICIPIO DE HATO COROZAL DEPARTAMENTO DE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Las actividades a desarrollar serán las siguientes:
• Aplicación de químicos para lavado y desinfección de pozos profundos.
• Prueba de bombeo - mínimo 24 horas - motobomba. 
• Movilización y desmovilización para el compresor en pozos profundos. 
• Adecuación del terreno y construcción de piscinas para lodos. 
• Grava lavada y libre de calcáreos para filtros 1/32"- 1". Suministro e Instal.
• Sello sanitario Placa base en Concreto 3000 Psi 1.0 x 1.0 x 0.08. Incluye alimentador gravilla Ø 1 1/2" y Tapón roscado.
• Limpieza y desarrollo de pozo profundo con compresor.
• Perforación, reperforacion y/o ampliación de prueba en Ø 8 ½ " pozos unifamiliares (plano-sabana).
• Filtro acampanado en tubería PVC RDE 21 Ø=4". espacio 0.125". Suministro e Instal.
• Tubería acampanada PVC RDE 21 Ø=4" . Suministro e Instal.
• Tanque plástico de 5000 lt. con conexión y distribución PVC de 1/2" y 1". Suministro e Instal.
• Kit de bombeo con energía solar Q=0.46 m3/h incluye bomba sumergible kolosal y 6 paneles solares, variador de frecuencia.
• Fabricación, suministro y montaje sobre placa de concreto 3000 psi e=0.15 m, de estructura. metálica para soporte de tanque de agua 5000 lts y cerramiento en malla electrosoldada para filtros, en tubo estructural cuadrado de .100x.100x2.5 mm, H=5mts.
• Estructura de 4.14mx4.2m para 6 paneles solares, a una altura H=3mts.
• Tanque elevado 2.000 lts con conexión y distribución PVC de 1/2" y 1". Suministro e Instal.
• filtro de tratamiento de agua acruda capacidad de 6 a 8 gpm suministro e instalación.
• filtros de carbón activado suministro e instalación.
• filtros multimedio (arena, carbón activado, antracita) suministro e instalación.
• filtro para la eliminación de hierro hasta 15 ppm suministro e instalación.
• Estructura modular metálica tanque de almacenamiento 2000 lts.
• análisis físico - químico de agua (antes - después)
POR PARTE DEL CONTRATISTA:
1.	Realizar el pozo profundo,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71121610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72141119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83101501</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"Mejoramiento y optimización de los servicios públicos (Acueducto, Alcantarillado y Aseo) en el municipio de Hato Corozal"
2.el proyecto se encuentra enmarcado en el Plan de Desarrollo Municipal “ALTO Y SOSTENIBLE 2020 – 2023”
LINEA 2:HATO COROZAL ALTO Y SOSTENIBLE CON GENERACIÓN DE EMPLEO, INFRAESTRUCTURA Y VIVIENDA
Sector de Competencia: VIVIENDA
Programa: HATO COROZAL ALTO Y SOSTENIBLE CON AGUA LIMPIA Y MEJOR SANEAMIENTO BÁSICO
Meta(s) producto: Realizar el mantenimiento y puesta en operación con permisos a sistemas de acueducto rural. 
3. medida cautelar 098
4. Certificación de existencial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la base de datos de Construplan, este contiene las diferentes actividades con sus rendimientos por ítem, su base de insumo se actualiza por medio de un estudio de mercado local y grandes proveedores nacionales, costos de transporte y facilidad de adquisición. como también una serie de ítem fueron elaborados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CUARENTA Y NUEVE MILLONES NOVECIENTOS OCHENTA Y TRES MIL DOSCIENTOS NOVENTA Y TRES PESES MCTE ($149.983.293,00)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
• El impuesto de Industria y Comercio correspondiente al 10 x mil del valor total del contrato. 
• Sobretasa Bomberil el 4 x mil del valor total de industria y comercio. 
• Fondo de seguridad correspondiente al 5,0% del valor total del contrato 
• Retefuente 2,0%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APROVECHAMIENTO DE LAS AGUAS SUBTERRANEAS A TRAVES DE LA CONSTRUCCION DE POZO PROFUNDO PTAP, PARA LA COMUNIDAD DE MARDUE DEL RESGUARDO INDIGENA DE CAÑO MOCHUELO,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Resguardo indígena caño mochuelo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pagara al contratista el 100% del valor del contrato una vez se haga la entrega final, previa suscripción del acta de terminación, recibo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149.983.293,00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