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r w:rsidRPr="00EF7FD9">
        <w:rPr>
          <w:rFonts w:ascii="Arial" w:hAnsi="Arial" w:cs="Arial"/>
          <w:sz w:val="22"/>
          <w:szCs w:val="22"/>
        </w:rPr>
        <w:t xml:space="preserve">La contratación a celebrar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0D0C1042"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0405D36E"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 xml:space="preserve">En relación con los preceptos señalados en la Constitución Política de 1991, </w:t>
      </w:r>
    </w:p>
    <w:p w14:paraId="6E8CCA12"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w:t>
      </w:r>
    </w:p>
    <w:p w14:paraId="2A310DB3" w14:textId="77777777" w:rsidR="00D210D3" w:rsidRPr="00D210D3" w:rsidRDefault="00D210D3" w:rsidP="00D210D3">
      <w:pPr>
        <w:widowControl w:val="0"/>
        <w:suppressAutoHyphens/>
        <w:rPr>
          <w:rFonts w:ascii="Arial" w:hAnsi="Arial" w:cs="Arial"/>
          <w:bCs/>
          <w:sz w:val="22"/>
          <w:szCs w:val="22"/>
          <w:lang w:eastAsia="es-CO"/>
        </w:rPr>
      </w:pPr>
    </w:p>
    <w:p w14:paraId="36E75AED"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Adicionalmente, para el cumplimiento de los mismos, se debe realizar un trabajo transversal y coordinado con las autoridades de la República para velar por la protección de las personas residentes en el territorio. (Constitución Política de 1991, artículo 2).</w:t>
      </w:r>
    </w:p>
    <w:p w14:paraId="64981A33" w14:textId="77777777" w:rsidR="00D210D3" w:rsidRPr="00D210D3" w:rsidRDefault="00D210D3" w:rsidP="00D210D3">
      <w:pPr>
        <w:widowControl w:val="0"/>
        <w:suppressAutoHyphens/>
        <w:rPr>
          <w:rFonts w:ascii="Arial" w:hAnsi="Arial" w:cs="Arial"/>
          <w:bCs/>
          <w:sz w:val="22"/>
          <w:szCs w:val="22"/>
          <w:lang w:eastAsia="es-CO"/>
        </w:rPr>
      </w:pPr>
    </w:p>
    <w:p w14:paraId="3A320A24"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Asimismo, los municipios al tener carácter de Entidad Territorial deben cumplir con una serie de funciones de carácter Constitucional y Legal, por lo tanto, la Ley 1551 de 2012 insta a solucionar las necesidades insatisfechas de su población en general y primordialmente de las personas de especial protección y las víctimas del conflicto armado. (Ley 1551 de 2012, artículo 6, numeral 7 y 8).</w:t>
      </w:r>
    </w:p>
    <w:p w14:paraId="2CBBEB55" w14:textId="77777777" w:rsidR="00D210D3" w:rsidRPr="00D210D3" w:rsidRDefault="00D210D3" w:rsidP="00D210D3">
      <w:pPr>
        <w:widowControl w:val="0"/>
        <w:suppressAutoHyphens/>
        <w:rPr>
          <w:rFonts w:ascii="Arial" w:hAnsi="Arial" w:cs="Arial"/>
          <w:bCs/>
          <w:sz w:val="22"/>
          <w:szCs w:val="22"/>
          <w:lang w:eastAsia="es-CO"/>
        </w:rPr>
      </w:pPr>
    </w:p>
    <w:p w14:paraId="403FF711"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Ahora bien, a fin de satisfacer esas condiciones, se concibe bajo la Ley 1448 de 2011, en la cual se consagran medidas de reparación y atención a las víctimas del conflicto armado interno. (Ley 1448 de 2012, artículo 1). La presente Ley tuvo como vigencia 10 años y fue prorrogada por la Ley 2078 de 2021 con el objetivo de “el proceso de reparación consignado en la Ley y en los decretos ley étnicos se ha demorado más de lo previsto y se debe garantizar la atención y reparación de las víctimas en el marco de una paz estable y duradera.” (Ley 2078 de 2021, artículo 1). Asimismo, el artículo 123 del Decreto-Ley 4634 de 2011 y el Decreto-ley 4635 de 2011 en su artículo 156, al igual su modificatoria se aplica a la ampliación de su aplicabilidad.</w:t>
      </w:r>
    </w:p>
    <w:p w14:paraId="70F6232F" w14:textId="77777777" w:rsidR="00D210D3" w:rsidRPr="00D210D3" w:rsidRDefault="00D210D3" w:rsidP="00D210D3">
      <w:pPr>
        <w:widowControl w:val="0"/>
        <w:suppressAutoHyphens/>
        <w:rPr>
          <w:rFonts w:ascii="Arial" w:hAnsi="Arial" w:cs="Arial"/>
          <w:bCs/>
          <w:sz w:val="22"/>
          <w:szCs w:val="22"/>
          <w:lang w:eastAsia="es-CO"/>
        </w:rPr>
      </w:pPr>
    </w:p>
    <w:p w14:paraId="2DB0C460"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Toda esta aplicabilidad de normatividad, ha puesto al Gobierno en una apuesta para la aplicabilidad del modelo de justicia transicional. La política pública para las víctimas del conflicto armado interno, se hace mediante una intervención de forma integral a todas las personas que han sido afectados por todo el conflicto de guerra interno que se ha presentado en Colombia. Por tal motivo todas las personas se les deben aplicar las mismas medidas, sin discriminación de su género, orientación sexual, raza, condición social, profesional, origen nacional o familiar, legua, libertad religiosa y opinión política y filosófica. (Ley 1448 de 2011, artículo 6).</w:t>
      </w:r>
    </w:p>
    <w:p w14:paraId="716A6BEA" w14:textId="77777777" w:rsidR="00D210D3" w:rsidRPr="00D210D3" w:rsidRDefault="00D210D3" w:rsidP="00D210D3">
      <w:pPr>
        <w:widowControl w:val="0"/>
        <w:suppressAutoHyphens/>
        <w:rPr>
          <w:rFonts w:ascii="Arial" w:hAnsi="Arial" w:cs="Arial"/>
          <w:bCs/>
          <w:sz w:val="22"/>
          <w:szCs w:val="22"/>
          <w:lang w:eastAsia="es-CO"/>
        </w:rPr>
      </w:pPr>
    </w:p>
    <w:p w14:paraId="1ABAF66F"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Adicionalmente, se considera la participación conjunta para la superación de la vulnerabilidad de las víctimas, donde el Estado debe implementar medidas y acciones tendientes a la atención, asistencia y reparación de las mismas; además por parte de la sociedad civil y el sector privado deben prestar solidaridad, respeto y apoyo a los procesos de reparación. (Ley 1448 de 2011, artículo 14).</w:t>
      </w:r>
    </w:p>
    <w:p w14:paraId="118CAEB5" w14:textId="77777777" w:rsidR="00D210D3" w:rsidRPr="00D210D3" w:rsidRDefault="00D210D3" w:rsidP="00D210D3">
      <w:pPr>
        <w:widowControl w:val="0"/>
        <w:suppressAutoHyphens/>
        <w:rPr>
          <w:rFonts w:ascii="Arial" w:hAnsi="Arial" w:cs="Arial"/>
          <w:bCs/>
          <w:sz w:val="22"/>
          <w:szCs w:val="22"/>
          <w:lang w:eastAsia="es-CO"/>
        </w:rPr>
      </w:pPr>
    </w:p>
    <w:p w14:paraId="5D1719F0"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 xml:space="preserve">Para el logro del objeto de la Ley 1448 de 2011 modificada por la Ley 2078 de 2021, el Decreto 4800 de 2011 dispone que todas la Entidades Públicas de orden nacional, departamental y </w:t>
      </w:r>
      <w:r w:rsidRPr="00D210D3">
        <w:rPr>
          <w:rFonts w:ascii="Arial" w:hAnsi="Arial" w:cs="Arial"/>
          <w:bCs/>
          <w:sz w:val="22"/>
          <w:szCs w:val="22"/>
          <w:lang w:eastAsia="es-CO"/>
        </w:rPr>
        <w:lastRenderedPageBreak/>
        <w:t>municipal, manejen una corresponsabilidad para prevenir, asistir, atender y reparar a las víctimas del conflicto armado interno. Decreto 4800 de 2011, artículo 10). Asimismo, se debe realizar un trabajo conjunto y hacer efectivo los principios Constitucionales y los fines esenciales del Estado, logrando el cumplimiento de los derechos humanos. (Decreto 4800 de 2011, artículo 11).</w:t>
      </w:r>
    </w:p>
    <w:p w14:paraId="5A4AF144" w14:textId="77777777" w:rsidR="00D210D3" w:rsidRPr="00D210D3" w:rsidRDefault="00D210D3" w:rsidP="00D210D3">
      <w:pPr>
        <w:widowControl w:val="0"/>
        <w:suppressAutoHyphens/>
        <w:rPr>
          <w:rFonts w:ascii="Arial" w:hAnsi="Arial" w:cs="Arial"/>
          <w:bCs/>
          <w:sz w:val="22"/>
          <w:szCs w:val="22"/>
          <w:lang w:eastAsia="es-CO"/>
        </w:rPr>
      </w:pPr>
    </w:p>
    <w:p w14:paraId="081698D2"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Una de las herramientas que fueron creadas bajo la modificada Ley 1448 de 2011, fue el Registro Único de Víctimas-RUV, siendo esta una herramienta de registro e identificación del número total de las víctimas que existen en el País, al igual que las necesidades que los mismos tienen. La Entidad que responde por el manejo de la presente plataforma, es la Unidad para la Atención y Reparación Integral a las Víctimas-UARIV, (Decreto 4800 de 2011, artículos 16 y 17).</w:t>
      </w:r>
    </w:p>
    <w:p w14:paraId="65F15EF8" w14:textId="77777777" w:rsidR="00D210D3" w:rsidRPr="00D210D3" w:rsidRDefault="00D210D3" w:rsidP="00D210D3">
      <w:pPr>
        <w:widowControl w:val="0"/>
        <w:suppressAutoHyphens/>
        <w:rPr>
          <w:rFonts w:ascii="Arial" w:hAnsi="Arial" w:cs="Arial"/>
          <w:bCs/>
          <w:sz w:val="22"/>
          <w:szCs w:val="22"/>
          <w:lang w:eastAsia="es-CO"/>
        </w:rPr>
      </w:pPr>
    </w:p>
    <w:p w14:paraId="77D53026"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 xml:space="preserve">Por lo anterior, el municipio de Hato Corozal requiere una persona que apoye el proceso de atención a las víctimas del conflicto armado interno, además que preste apoyo en la proyección de las certificaciones, constancias y las acreditaciones que sean requeridos por las mismas; igualmente, realizar el acompañamiento técnico para la elaboración de las actas de las diferentes actas de los Comités y Subcomités concernientes a las víctimas del conflicto. </w:t>
      </w:r>
    </w:p>
    <w:p w14:paraId="48A51CC3" w14:textId="77777777" w:rsidR="00D210D3" w:rsidRP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 xml:space="preserve">Lo anterior, se evidencia porque la comunidad víctima que se encuentra en el municipio es muy amplia y la Administración Municipal requiere que se le preste atención a cada uno; consientes de la responsabilidad social y legal, además de la corresponsabilidad que debe tener la Entidad Territorial con las demás entidades del orden nacional y departamental.   </w:t>
      </w:r>
    </w:p>
    <w:p w14:paraId="014D4188" w14:textId="77777777" w:rsidR="00D210D3" w:rsidRPr="00D210D3" w:rsidRDefault="00D210D3" w:rsidP="00D210D3">
      <w:pPr>
        <w:widowControl w:val="0"/>
        <w:suppressAutoHyphens/>
        <w:rPr>
          <w:rFonts w:ascii="Arial" w:hAnsi="Arial" w:cs="Arial"/>
          <w:bCs/>
          <w:sz w:val="22"/>
          <w:szCs w:val="22"/>
          <w:lang w:eastAsia="es-CO"/>
        </w:rPr>
      </w:pPr>
    </w:p>
    <w:p w14:paraId="04655836" w14:textId="6008FA13" w:rsidR="00D210D3" w:rsidRDefault="00D210D3" w:rsidP="00D210D3">
      <w:pPr>
        <w:widowControl w:val="0"/>
        <w:suppressAutoHyphens/>
        <w:rPr>
          <w:rFonts w:ascii="Arial" w:hAnsi="Arial" w:cs="Arial"/>
          <w:bCs/>
          <w:sz w:val="22"/>
          <w:szCs w:val="22"/>
          <w:lang w:eastAsia="es-CO"/>
        </w:rPr>
      </w:pPr>
      <w:r w:rsidRPr="00D210D3">
        <w:rPr>
          <w:rFonts w:ascii="Arial" w:hAnsi="Arial" w:cs="Arial"/>
          <w:bCs/>
          <w:sz w:val="22"/>
          <w:szCs w:val="22"/>
          <w:lang w:eastAsia="es-CO"/>
        </w:rPr>
        <w:t>Es conveniente realizar la presente contratación con el objetivo de ampliar la atención a las víctimas del conflicto armado del municipio y lograr a cabalidad el cumplimiento de la Ley 1448 de 2011 modificada por la Ley 2078 de 2021. Y por último es oportuno, siendo que se cuenta con la disponibilidad presupuesta en el Rubro No.2-30-ISEA/2.3.2.02.02.009.410101400.</w:t>
      </w:r>
      <w:r w:rsidRPr="00D210D3">
        <w:rPr>
          <w:rFonts w:ascii="Arial" w:hAnsi="Arial" w:cs="Arial"/>
          <w:bCs/>
          <w:sz w:val="22"/>
          <w:szCs w:val="22"/>
          <w:lang w:eastAsia="es-CO"/>
        </w:rPr>
        <w:t>2021851250009,</w:t>
      </w:r>
      <w:r w:rsidRPr="00D210D3">
        <w:rPr>
          <w:rFonts w:ascii="Arial" w:hAnsi="Arial" w:cs="Arial"/>
          <w:bCs/>
          <w:sz w:val="22"/>
          <w:szCs w:val="22"/>
          <w:lang w:eastAsia="es-CO"/>
        </w:rPr>
        <w:t xml:space="preserve"> de nombre SERVICIOS PARA LA COMUNIDAD, SOCIALES Y PERSONALES, cuya fuente de financiación es 350-SUPERAVIT SGP LIBRE DESTINACION</w:t>
      </w:r>
    </w:p>
    <w:p w14:paraId="7292A0AF" w14:textId="77777777" w:rsidR="00D210D3" w:rsidRDefault="00D210D3" w:rsidP="00D210D3">
      <w:pPr>
        <w:widowControl w:val="0"/>
        <w:suppressAutoHyphens/>
        <w:rPr>
          <w:rFonts w:ascii="Arial" w:hAnsi="Arial" w:cs="Arial"/>
          <w:bCs/>
          <w:sz w:val="22"/>
          <w:szCs w:val="22"/>
          <w:lang w:eastAsia="es-CO"/>
        </w:rPr>
      </w:pPr>
    </w:p>
    <w:p w14:paraId="2B573012" w14:textId="3EF5B0F6" w:rsidR="005B4824" w:rsidRDefault="005B4824" w:rsidP="00D210D3">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61184A81" w14:textId="77777777" w:rsidR="00B92A9C" w:rsidRPr="00EF7FD9" w:rsidRDefault="00B92A9C" w:rsidP="005B4824">
      <w:pPr>
        <w:widowControl w:val="0"/>
        <w:suppressAutoHyphens/>
        <w:rPr>
          <w:rFonts w:ascii="Arial" w:eastAsia="DejaVu Sans" w:hAnsi="Arial" w:cs="Arial"/>
          <w:b/>
          <w:kern w:val="1"/>
          <w:sz w:val="22"/>
          <w:szCs w:val="22"/>
          <w:lang w:eastAsia="zh-CN"/>
        </w:rPr>
      </w:pPr>
    </w:p>
    <w:p w14:paraId="4ADBF2C9" w14:textId="65C495B8" w:rsidR="005B4824" w:rsidRPr="00BA16F7" w:rsidRDefault="005B4824" w:rsidP="005B4824">
      <w:pPr>
        <w:rPr>
          <w:rFonts w:ascii="Arial" w:hAnsi="Arial" w:cs="Arial"/>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w:t>
      </w:r>
      <w:r w:rsidR="00D210D3" w:rsidRPr="00D210D3">
        <w:t xml:space="preserve"> </w:t>
      </w:r>
      <w:r w:rsidR="00D210D3" w:rsidRPr="00D210D3">
        <w:rPr>
          <w:rFonts w:ascii="Arial" w:eastAsia="DejaVu Sans" w:hAnsi="Arial" w:cs="Arial"/>
          <w:kern w:val="1"/>
          <w:sz w:val="22"/>
          <w:szCs w:val="22"/>
          <w:lang w:eastAsia="zh-CN"/>
        </w:rPr>
        <w:t>PRESTAR APOYO A LAS ACCIONES DE FORTALECIMIENTO A LA COMUNIDAD VÍCTIMA DEL CONFLICTO ARMADO DEL MUNICIPIO DE HATO COROZAL.</w:t>
      </w:r>
      <w:r w:rsidR="007B4E3E" w:rsidRPr="00F63585">
        <w:rPr>
          <w:rFonts w:ascii="Arial" w:hAnsi="Arial" w:cs="Arial"/>
          <w:bCs/>
        </w:rPr>
        <w:t>.</w:t>
      </w:r>
      <w:r w:rsidRPr="00F63585">
        <w:rPr>
          <w:rFonts w:ascii="Arial" w:hAnsi="Arial" w:cs="Arial"/>
          <w:bCs/>
          <w:sz w:val="22"/>
          <w:szCs w:val="22"/>
        </w:rPr>
        <w:t>”</w:t>
      </w:r>
      <w:r w:rsidRPr="00EF7FD9">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77777777"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33F804D3" w14:textId="27F751E4" w:rsidR="00AC7CAE" w:rsidRPr="00654A32" w:rsidRDefault="00D210D3" w:rsidP="00AC7CAE">
      <w:pPr>
        <w:rPr>
          <w:rFonts w:ascii="Arial" w:hAnsi="Arial" w:cs="Arial"/>
          <w:sz w:val="22"/>
          <w:szCs w:val="22"/>
        </w:rPr>
      </w:pPr>
      <w:r w:rsidRPr="00D210D3">
        <w:rPr>
          <w:rFonts w:ascii="Arial" w:hAnsi="Arial" w:cs="Arial"/>
          <w:sz w:val="22"/>
          <w:szCs w:val="22"/>
        </w:rPr>
        <w:t xml:space="preserve">La Alcaldía Municipal pagara al contratista el valor del presente contrato de la siguiente manera: Cuatro (04) actas parciales mensuales por valor de Dos Millones Novecientos Mil Pesos M/Cte. ($2.900.000), previa entrega del informe de actividades correspondiente, y recibo a satisfacción por parte del supervisor del contrato y de encontrarse al día en los pagos al Sistema General de Seguridad Social (Salud y Pensión), Sistema General de Riesgos Laborales y un último pago por </w:t>
      </w:r>
      <w:r w:rsidRPr="00D210D3">
        <w:rPr>
          <w:rFonts w:ascii="Arial" w:hAnsi="Arial" w:cs="Arial"/>
          <w:sz w:val="22"/>
          <w:szCs w:val="22"/>
        </w:rPr>
        <w:lastRenderedPageBreak/>
        <w:t>valor de  Dos Millones Novecientos Mil Pesos M/Cte. ($2.900.000),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r w:rsidR="00BA16F7" w:rsidRPr="00654A32">
        <w:rPr>
          <w:rFonts w:ascii="Arial" w:hAnsi="Arial" w:cs="Arial"/>
          <w:sz w:val="22"/>
          <w:szCs w:val="22"/>
        </w:rPr>
        <w:t>.</w:t>
      </w:r>
    </w:p>
    <w:p w14:paraId="5397E66D" w14:textId="77777777" w:rsidR="00BA16F7" w:rsidRPr="00EF7FD9" w:rsidRDefault="00BA16F7"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0A15D419" w:rsidR="005B4824" w:rsidRPr="004824F0" w:rsidRDefault="005B4824" w:rsidP="005B4824">
      <w:pPr>
        <w:rPr>
          <w:rFonts w:ascii="Arial" w:hAnsi="Arial" w:cs="Arial"/>
        </w:rPr>
      </w:pPr>
      <w:r w:rsidRPr="00EF7FD9">
        <w:rPr>
          <w:rFonts w:ascii="Arial" w:hAnsi="Arial" w:cs="Arial"/>
          <w:sz w:val="22"/>
          <w:szCs w:val="22"/>
          <w:lang w:val="es-MX"/>
        </w:rPr>
        <w:t>El producto a contratar lo constituye mediante objeto</w:t>
      </w:r>
      <w:r w:rsidRPr="00F63585">
        <w:rPr>
          <w:rFonts w:ascii="Arial" w:hAnsi="Arial" w:cs="Arial"/>
          <w:b/>
          <w:bCs/>
          <w:sz w:val="22"/>
          <w:szCs w:val="22"/>
          <w:lang w:val="es-MX"/>
        </w:rPr>
        <w:t xml:space="preserve">: </w:t>
      </w:r>
      <w:r w:rsidRPr="006C59E8">
        <w:rPr>
          <w:rFonts w:ascii="Arial" w:hAnsi="Arial" w:cs="Arial"/>
          <w:b/>
          <w:bCs/>
          <w:sz w:val="22"/>
          <w:szCs w:val="22"/>
        </w:rPr>
        <w:t>“</w:t>
      </w:r>
      <w:r w:rsidR="004824F0" w:rsidRPr="006C59E8">
        <w:rPr>
          <w:rFonts w:ascii="Arial" w:eastAsia="DejaVu Sans" w:hAnsi="Arial" w:cs="Arial"/>
          <w:b/>
          <w:bCs/>
          <w:kern w:val="1"/>
          <w:sz w:val="22"/>
          <w:szCs w:val="22"/>
          <w:lang w:eastAsia="zh-CN"/>
        </w:rPr>
        <w:t>PRESTAR APOYO A LAS ACCIONES DE FORTALECIMIENTO A LA COMUNIDAD VÍCTIMA DEL CONFLICTO ARMADO DEL MUNICIPIO DE HATO COROZAL.</w:t>
      </w:r>
      <w:r w:rsidRPr="006C59E8">
        <w:rPr>
          <w:rFonts w:ascii="Arial" w:hAnsi="Arial" w:cs="Arial"/>
          <w:b/>
          <w:bCs/>
          <w:sz w:val="22"/>
          <w:szCs w:val="22"/>
        </w:rPr>
        <w:t>”.</w:t>
      </w:r>
      <w:r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02FE6343" w:rsidR="005B4824"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7432B39D" w14:textId="77777777" w:rsidR="006A3C10" w:rsidRPr="00EF7FD9" w:rsidRDefault="006A3C10" w:rsidP="005B4824">
      <w:pPr>
        <w:widowControl w:val="0"/>
        <w:suppressAutoHyphens/>
        <w:rPr>
          <w:rFonts w:ascii="Arial" w:eastAsia="DejaVu Sans" w:hAnsi="Arial" w:cs="Arial"/>
          <w:b/>
          <w:kern w:val="1"/>
          <w:sz w:val="22"/>
          <w:szCs w:val="22"/>
          <w:lang w:eastAsia="zh-CN"/>
        </w:rPr>
      </w:pPr>
    </w:p>
    <w:p w14:paraId="3041AD8F" w14:textId="0F0CD31E"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r w:rsidR="007457DE" w:rsidRPr="00EF7FD9">
        <w:rPr>
          <w:rFonts w:ascii="Arial" w:eastAsia="Calibri" w:hAnsi="Arial" w:cs="Arial"/>
          <w:sz w:val="22"/>
          <w:szCs w:val="22"/>
        </w:rPr>
        <w:t>seleccione</w:t>
      </w:r>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0216FB71" w14:textId="25BE5BA0" w:rsidR="006A3C10" w:rsidRPr="006A3C10" w:rsidRDefault="006A3C10" w:rsidP="006A3C10">
      <w:pPr>
        <w:rPr>
          <w:rFonts w:ascii="Arial" w:hAnsi="Arial" w:cs="Arial"/>
          <w:bCs/>
          <w:sz w:val="22"/>
          <w:szCs w:val="22"/>
        </w:rPr>
      </w:pPr>
      <w:r w:rsidRPr="006A3C10">
        <w:rPr>
          <w:rFonts w:ascii="Arial" w:hAnsi="Arial" w:cs="Arial"/>
          <w:bCs/>
          <w:sz w:val="22"/>
          <w:szCs w:val="22"/>
        </w:rPr>
        <w:t>1.</w:t>
      </w:r>
      <w:r>
        <w:rPr>
          <w:rFonts w:ascii="Arial" w:hAnsi="Arial" w:cs="Arial"/>
          <w:bCs/>
          <w:sz w:val="22"/>
          <w:szCs w:val="22"/>
        </w:rPr>
        <w:t>-</w:t>
      </w:r>
      <w:r w:rsidRPr="006A3C10">
        <w:rPr>
          <w:rFonts w:ascii="Arial" w:hAnsi="Arial" w:cs="Arial"/>
          <w:bCs/>
          <w:sz w:val="22"/>
          <w:szCs w:val="22"/>
        </w:rPr>
        <w:t>brindar orientación</w:t>
      </w:r>
      <w:r w:rsidRPr="006A3C10">
        <w:rPr>
          <w:rFonts w:ascii="Arial" w:hAnsi="Arial" w:cs="Arial"/>
          <w:bCs/>
          <w:sz w:val="22"/>
          <w:szCs w:val="22"/>
        </w:rPr>
        <w:t>, atención y acompañamiento integral a las víctimas del conflicto armado interno del Municipio de Hato Corozal.</w:t>
      </w:r>
    </w:p>
    <w:p w14:paraId="46B8C131" w14:textId="7F18D471" w:rsidR="006A3C10" w:rsidRPr="006A3C10" w:rsidRDefault="006A3C10" w:rsidP="006A3C10">
      <w:pPr>
        <w:rPr>
          <w:rFonts w:ascii="Arial" w:hAnsi="Arial" w:cs="Arial"/>
          <w:bCs/>
          <w:sz w:val="22"/>
          <w:szCs w:val="22"/>
        </w:rPr>
      </w:pPr>
      <w:r w:rsidRPr="006A3C10">
        <w:rPr>
          <w:rFonts w:ascii="Arial" w:hAnsi="Arial" w:cs="Arial"/>
          <w:bCs/>
          <w:sz w:val="22"/>
          <w:szCs w:val="22"/>
        </w:rPr>
        <w:t>2.</w:t>
      </w:r>
      <w:r>
        <w:rPr>
          <w:rFonts w:ascii="Arial" w:hAnsi="Arial" w:cs="Arial"/>
          <w:bCs/>
          <w:sz w:val="22"/>
          <w:szCs w:val="22"/>
        </w:rPr>
        <w:t>-</w:t>
      </w:r>
      <w:r w:rsidRPr="006A3C10">
        <w:rPr>
          <w:rFonts w:ascii="Arial" w:hAnsi="Arial" w:cs="Arial"/>
          <w:bCs/>
          <w:sz w:val="22"/>
          <w:szCs w:val="22"/>
        </w:rPr>
        <w:t>prestar a la Secretaría General y de Gobierno apoyo en la elaboración de certificaciones que sean requeridas por parte de las víctimas del conflicto armado interno del municipio de Hato Corozal.</w:t>
      </w:r>
    </w:p>
    <w:p w14:paraId="38D855E9" w14:textId="32786AAB" w:rsidR="006A3C10" w:rsidRPr="006A3C10" w:rsidRDefault="006A3C10" w:rsidP="006A3C10">
      <w:pPr>
        <w:rPr>
          <w:rFonts w:ascii="Arial" w:hAnsi="Arial" w:cs="Arial"/>
          <w:bCs/>
          <w:sz w:val="22"/>
          <w:szCs w:val="22"/>
        </w:rPr>
      </w:pPr>
      <w:r w:rsidRPr="006A3C10">
        <w:rPr>
          <w:rFonts w:ascii="Arial" w:hAnsi="Arial" w:cs="Arial"/>
          <w:bCs/>
          <w:sz w:val="22"/>
          <w:szCs w:val="22"/>
        </w:rPr>
        <w:t>3.</w:t>
      </w:r>
      <w:r>
        <w:rPr>
          <w:rFonts w:ascii="Arial" w:hAnsi="Arial" w:cs="Arial"/>
          <w:bCs/>
          <w:sz w:val="22"/>
          <w:szCs w:val="22"/>
        </w:rPr>
        <w:t>-</w:t>
      </w:r>
      <w:r w:rsidRPr="006A3C10">
        <w:rPr>
          <w:rFonts w:ascii="Arial" w:hAnsi="Arial" w:cs="Arial"/>
          <w:bCs/>
          <w:sz w:val="22"/>
          <w:szCs w:val="22"/>
        </w:rPr>
        <w:t>garantizar apoyo en la transcripción de las actas de Comités y Subcomités que se surtan en torno a las víctimas del conflicto armado interno, en los cuales haga parte la Secretaría General y de Gobierno.</w:t>
      </w:r>
    </w:p>
    <w:p w14:paraId="5E64A5B5" w14:textId="4881F9F9" w:rsidR="006A3C10" w:rsidRPr="006A3C10" w:rsidRDefault="006A3C10" w:rsidP="006A3C10">
      <w:pPr>
        <w:rPr>
          <w:rFonts w:ascii="Arial" w:hAnsi="Arial" w:cs="Arial"/>
          <w:bCs/>
          <w:sz w:val="22"/>
          <w:szCs w:val="22"/>
        </w:rPr>
      </w:pPr>
      <w:r w:rsidRPr="006A3C10">
        <w:rPr>
          <w:rFonts w:ascii="Arial" w:hAnsi="Arial" w:cs="Arial"/>
          <w:bCs/>
          <w:sz w:val="22"/>
          <w:szCs w:val="22"/>
        </w:rPr>
        <w:t>4.</w:t>
      </w:r>
      <w:r>
        <w:rPr>
          <w:rFonts w:ascii="Arial" w:hAnsi="Arial" w:cs="Arial"/>
          <w:bCs/>
          <w:sz w:val="22"/>
          <w:szCs w:val="22"/>
        </w:rPr>
        <w:t>-</w:t>
      </w:r>
      <w:r w:rsidRPr="006A3C10">
        <w:rPr>
          <w:rFonts w:ascii="Arial" w:hAnsi="Arial" w:cs="Arial"/>
          <w:bCs/>
          <w:sz w:val="22"/>
          <w:szCs w:val="22"/>
        </w:rPr>
        <w:t>apoyar como de enlace para el fortalecimiento de la mesa de participación Efectiva de las Víctimas del Conflicto Armado Interno del Municipio de Hato Corozal-Casanare.</w:t>
      </w:r>
    </w:p>
    <w:p w14:paraId="5635F754" w14:textId="1988AB9C" w:rsidR="006A3C10" w:rsidRPr="006A3C10" w:rsidRDefault="006A3C10" w:rsidP="006A3C10">
      <w:pPr>
        <w:rPr>
          <w:rFonts w:ascii="Arial" w:hAnsi="Arial" w:cs="Arial"/>
          <w:bCs/>
          <w:sz w:val="22"/>
          <w:szCs w:val="22"/>
        </w:rPr>
      </w:pPr>
      <w:r w:rsidRPr="006A3C10">
        <w:rPr>
          <w:rFonts w:ascii="Arial" w:hAnsi="Arial" w:cs="Arial"/>
          <w:bCs/>
          <w:sz w:val="22"/>
          <w:szCs w:val="22"/>
        </w:rPr>
        <w:t>5.</w:t>
      </w:r>
      <w:r>
        <w:rPr>
          <w:rFonts w:ascii="Arial" w:hAnsi="Arial" w:cs="Arial"/>
          <w:bCs/>
          <w:sz w:val="22"/>
          <w:szCs w:val="22"/>
        </w:rPr>
        <w:t>-</w:t>
      </w:r>
      <w:r w:rsidRPr="006A3C10">
        <w:rPr>
          <w:rFonts w:ascii="Arial" w:hAnsi="Arial" w:cs="Arial"/>
          <w:bCs/>
          <w:sz w:val="22"/>
          <w:szCs w:val="22"/>
        </w:rPr>
        <w:t>brindar en las acciones de notificación de los diferentes actos administrativos a las víctimas del conflicto armado interno del municipio.</w:t>
      </w:r>
    </w:p>
    <w:p w14:paraId="6F5E44E7" w14:textId="5C596BF4" w:rsidR="006A3C10" w:rsidRPr="006A3C10" w:rsidRDefault="006A3C10" w:rsidP="006A3C10">
      <w:pPr>
        <w:rPr>
          <w:rFonts w:ascii="Arial" w:hAnsi="Arial" w:cs="Arial"/>
          <w:bCs/>
          <w:sz w:val="22"/>
          <w:szCs w:val="22"/>
        </w:rPr>
      </w:pPr>
      <w:r w:rsidRPr="006A3C10">
        <w:rPr>
          <w:rFonts w:ascii="Arial" w:hAnsi="Arial" w:cs="Arial"/>
          <w:bCs/>
          <w:sz w:val="22"/>
          <w:szCs w:val="22"/>
        </w:rPr>
        <w:t>6.</w:t>
      </w:r>
      <w:r>
        <w:rPr>
          <w:rFonts w:ascii="Arial" w:hAnsi="Arial" w:cs="Arial"/>
          <w:bCs/>
          <w:sz w:val="22"/>
          <w:szCs w:val="22"/>
        </w:rPr>
        <w:t>-</w:t>
      </w:r>
      <w:r w:rsidRPr="006A3C10">
        <w:rPr>
          <w:rFonts w:ascii="Arial" w:hAnsi="Arial" w:cs="Arial"/>
          <w:bCs/>
          <w:sz w:val="22"/>
          <w:szCs w:val="22"/>
        </w:rPr>
        <w:t>Apoyar a la Secretaría General y de Gobierno en el diligenciamiento de circulares para notificación de Comités y Subcomités, y los diferentes oficios que sean requeridos para aplicabilidad de la Ley 1448 de 2011.</w:t>
      </w:r>
    </w:p>
    <w:p w14:paraId="782580DD" w14:textId="3583B513" w:rsidR="005B4824" w:rsidRDefault="006A3C10" w:rsidP="006A3C10">
      <w:pPr>
        <w:rPr>
          <w:rFonts w:ascii="Arial" w:hAnsi="Arial" w:cs="Arial"/>
          <w:bCs/>
          <w:sz w:val="22"/>
          <w:szCs w:val="22"/>
        </w:rPr>
      </w:pPr>
      <w:r w:rsidRPr="006A3C10">
        <w:rPr>
          <w:rFonts w:ascii="Arial" w:hAnsi="Arial" w:cs="Arial"/>
          <w:bCs/>
          <w:sz w:val="22"/>
          <w:szCs w:val="22"/>
        </w:rPr>
        <w:t>7.</w:t>
      </w:r>
      <w:r>
        <w:rPr>
          <w:rFonts w:ascii="Arial" w:hAnsi="Arial" w:cs="Arial"/>
          <w:bCs/>
          <w:sz w:val="22"/>
          <w:szCs w:val="22"/>
        </w:rPr>
        <w:t xml:space="preserve"> </w:t>
      </w:r>
      <w:r w:rsidRPr="006A3C10">
        <w:rPr>
          <w:rFonts w:ascii="Arial" w:hAnsi="Arial" w:cs="Arial"/>
          <w:bCs/>
          <w:sz w:val="22"/>
          <w:szCs w:val="22"/>
        </w:rPr>
        <w:t xml:space="preserve">Las demás actividades inherentes al objeto </w:t>
      </w:r>
      <w:r w:rsidRPr="006A3C10">
        <w:rPr>
          <w:rFonts w:ascii="Arial" w:hAnsi="Arial" w:cs="Arial"/>
          <w:bCs/>
          <w:sz w:val="22"/>
          <w:szCs w:val="22"/>
        </w:rPr>
        <w:t>contractual.</w:t>
      </w:r>
    </w:p>
    <w:p w14:paraId="159646E5" w14:textId="77777777" w:rsidR="00507CFC" w:rsidRPr="00EF7FD9" w:rsidRDefault="00507CFC" w:rsidP="00507CFC">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lastRenderedPageBreak/>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15D9AC26"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w:t>
            </w:r>
            <w:r w:rsidR="00507CFC">
              <w:rPr>
                <w:rFonts w:ascii="Arial" w:hAnsi="Arial" w:cs="Arial"/>
                <w:color w:val="000000"/>
                <w:sz w:val="22"/>
                <w:szCs w:val="22"/>
              </w:rPr>
              <w:t>0</w:t>
            </w:r>
            <w:r w:rsidRPr="00EF7FD9">
              <w:rPr>
                <w:rFonts w:ascii="Arial" w:hAnsi="Arial" w:cs="Arial"/>
                <w:color w:val="000000"/>
                <w:sz w:val="22"/>
                <w:szCs w:val="22"/>
              </w:rPr>
              <w:t>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235DDDA5"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07CFC">
              <w:rPr>
                <w:rFonts w:ascii="Arial" w:hAnsi="Arial" w:cs="Arial"/>
                <w:color w:val="000000"/>
                <w:sz w:val="22"/>
                <w:szCs w:val="22"/>
              </w:rPr>
              <w:t>de personal temporal</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B73FAB0" w14:textId="035813AF" w:rsidR="005B4824" w:rsidRPr="00EF7FD9" w:rsidRDefault="00860C71" w:rsidP="00860C71">
            <w:pPr>
              <w:rPr>
                <w:rFonts w:ascii="Arial" w:eastAsia="DejaVu Sans" w:hAnsi="Arial" w:cs="Arial"/>
                <w:b/>
                <w:bCs/>
                <w:kern w:val="1"/>
                <w:sz w:val="22"/>
                <w:szCs w:val="22"/>
                <w:lang w:eastAsia="zh-CN"/>
              </w:rPr>
            </w:pPr>
            <w:r w:rsidRPr="00F63585">
              <w:rPr>
                <w:rFonts w:ascii="Arial" w:hAnsi="Arial" w:cs="Arial"/>
                <w:b/>
                <w:bCs/>
                <w:sz w:val="22"/>
                <w:szCs w:val="22"/>
              </w:rPr>
              <w:t>“</w:t>
            </w:r>
            <w:r w:rsidR="00122B1D" w:rsidRPr="006C59E8">
              <w:rPr>
                <w:rFonts w:ascii="Arial" w:eastAsia="DejaVu Sans" w:hAnsi="Arial" w:cs="Arial"/>
                <w:b/>
                <w:bCs/>
                <w:kern w:val="1"/>
                <w:sz w:val="22"/>
                <w:szCs w:val="22"/>
                <w:lang w:eastAsia="zh-CN"/>
              </w:rPr>
              <w:t>PRESTAR APOYO A LAS ACCIONES DE FORTALECIMIENTO A LA COMUNIDAD VÍCTIMA DEL CONFLICTO ARMADO DEL MUNICIPIO DE HATO COROZAL</w:t>
            </w:r>
            <w:r w:rsidRPr="00F63585">
              <w:rPr>
                <w:rFonts w:ascii="Arial" w:hAnsi="Arial" w:cs="Arial"/>
                <w:b/>
                <w:bCs/>
                <w:sz w:val="22"/>
                <w:szCs w:val="22"/>
              </w:rPr>
              <w:t>”</w:t>
            </w:r>
            <w:r w:rsidRPr="00F63585">
              <w:rPr>
                <w:rFonts w:ascii="Arial" w:hAnsi="Arial" w:cs="Arial"/>
                <w:bCs/>
                <w:sz w:val="22"/>
                <w:szCs w:val="22"/>
              </w:rPr>
              <w:t>.</w:t>
            </w:r>
            <w:r>
              <w:rPr>
                <w:rFonts w:ascii="Arial" w:hAnsi="Arial" w:cs="Arial"/>
                <w:bCs/>
                <w:sz w:val="22"/>
                <w:szCs w:val="22"/>
              </w:rPr>
              <w:t xml:space="preserve"> </w:t>
            </w:r>
            <w:r w:rsidR="00122B1D">
              <w:rPr>
                <w:rFonts w:ascii="Arial" w:hAnsi="Arial" w:cs="Arial"/>
                <w:bCs/>
                <w:sz w:val="22"/>
                <w:szCs w:val="22"/>
              </w:rPr>
              <w:t xml:space="preserve"> </w:t>
            </w: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lastRenderedPageBreak/>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lastRenderedPageBreak/>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temporales,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5CBAACE6" w14:textId="4D7EC9A5" w:rsidR="005B4824" w:rsidRPr="00EF7FD9" w:rsidRDefault="001A680F" w:rsidP="005B4824">
      <w:pPr>
        <w:rPr>
          <w:rFonts w:ascii="Arial" w:hAnsi="Arial" w:cs="Arial"/>
          <w:sz w:val="22"/>
          <w:szCs w:val="22"/>
          <w:lang w:val="es-MX"/>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122B1D">
        <w:rPr>
          <w:rFonts w:ascii="Arial" w:hAnsi="Arial" w:cs="Arial"/>
          <w:sz w:val="22"/>
          <w:szCs w:val="22"/>
        </w:rPr>
        <w:t>Catorce</w:t>
      </w:r>
      <w:r w:rsidR="00167D67">
        <w:rPr>
          <w:rFonts w:ascii="Arial" w:hAnsi="Arial" w:cs="Arial"/>
          <w:sz w:val="22"/>
          <w:szCs w:val="22"/>
        </w:rPr>
        <w:t xml:space="preserve"> millones quinientos </w:t>
      </w:r>
      <w:r w:rsidR="008A761C">
        <w:rPr>
          <w:rFonts w:ascii="Arial" w:hAnsi="Arial" w:cs="Arial"/>
          <w:sz w:val="22"/>
          <w:szCs w:val="22"/>
        </w:rPr>
        <w:t xml:space="preserve">mil </w:t>
      </w:r>
      <w:r w:rsidR="00A0309B" w:rsidRPr="00EF7FD9">
        <w:rPr>
          <w:rFonts w:ascii="Arial" w:hAnsi="Arial" w:cs="Arial"/>
          <w:sz w:val="22"/>
          <w:szCs w:val="22"/>
        </w:rPr>
        <w:t>pesos</w:t>
      </w:r>
      <w:r w:rsidRPr="00EF7FD9">
        <w:rPr>
          <w:rFonts w:ascii="Arial" w:hAnsi="Arial" w:cs="Arial"/>
          <w:sz w:val="22"/>
          <w:szCs w:val="22"/>
        </w:rPr>
        <w:t xml:space="preserve"> ($ </w:t>
      </w:r>
      <w:r w:rsidR="00122B1D">
        <w:rPr>
          <w:rFonts w:ascii="Arial" w:hAnsi="Arial" w:cs="Arial"/>
          <w:sz w:val="22"/>
          <w:szCs w:val="22"/>
        </w:rPr>
        <w:t>14</w:t>
      </w:r>
      <w:r w:rsidR="00217738">
        <w:rPr>
          <w:rFonts w:ascii="Arial" w:hAnsi="Arial" w:cs="Arial"/>
          <w:sz w:val="22"/>
          <w:szCs w:val="22"/>
        </w:rPr>
        <w:t>.500.000</w:t>
      </w:r>
      <w:r w:rsidRPr="00EF7FD9">
        <w:rPr>
          <w:rFonts w:ascii="Arial" w:hAnsi="Arial" w:cs="Arial"/>
          <w:sz w:val="22"/>
          <w:szCs w:val="22"/>
        </w:rPr>
        <w:t>)</w:t>
      </w:r>
    </w:p>
    <w:p w14:paraId="0087D02C" w14:textId="77777777" w:rsidR="005B4824" w:rsidRPr="00EF7FD9" w:rsidRDefault="005B4824" w:rsidP="005B4824">
      <w:pPr>
        <w:widowControl w:val="0"/>
        <w:suppressAutoHyphens/>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5A0028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w:t>
      </w:r>
      <w:r w:rsidR="003D65E2">
        <w:rPr>
          <w:rFonts w:ascii="Arial" w:eastAsia="Calibri" w:hAnsi="Arial" w:cs="Arial"/>
          <w:sz w:val="22"/>
          <w:szCs w:val="22"/>
        </w:rPr>
        <w:t>0 y 2021</w:t>
      </w:r>
      <w:r w:rsidRPr="00EF7FD9">
        <w:rPr>
          <w:rFonts w:ascii="Arial" w:eastAsia="Calibri" w:hAnsi="Arial" w:cs="Arial"/>
          <w:sz w:val="22"/>
          <w:szCs w:val="22"/>
        </w:rPr>
        <w:t xml:space="preserve"> hasta el año 202</w:t>
      </w:r>
      <w:r w:rsidR="003D65E2">
        <w:rPr>
          <w:rFonts w:ascii="Arial" w:eastAsia="Calibri" w:hAnsi="Arial" w:cs="Arial"/>
          <w:sz w:val="22"/>
          <w:szCs w:val="22"/>
        </w:rPr>
        <w:t>2</w:t>
      </w:r>
      <w:r w:rsidRPr="00EF7FD9">
        <w:rPr>
          <w:rFonts w:ascii="Arial" w:eastAsia="Calibri" w:hAnsi="Arial" w:cs="Arial"/>
          <w:sz w:val="22"/>
          <w:szCs w:val="22"/>
        </w:rPr>
        <w:t xml:space="preserve">, como resultado de ello, a continuación, se relacionan los procesos contractuales que ha suscrito el </w:t>
      </w:r>
      <w:r w:rsidR="00452247" w:rsidRPr="00EF7FD9">
        <w:rPr>
          <w:rFonts w:ascii="Arial" w:eastAsia="Calibri" w:hAnsi="Arial" w:cs="Arial"/>
          <w:sz w:val="22"/>
          <w:szCs w:val="22"/>
        </w:rPr>
        <w:t>municipio relacionado</w:t>
      </w:r>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452247" w14:paraId="7A5590C1"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382AF7C3" w14:textId="77777777" w:rsidR="00452247" w:rsidRDefault="00452247" w:rsidP="005C201F">
            <w:pPr>
              <w:spacing w:line="259" w:lineRule="auto"/>
              <w:ind w:left="80"/>
              <w:jc w:val="left"/>
            </w:pPr>
            <w:r>
              <w:rPr>
                <w:b/>
              </w:rPr>
              <w:lastRenderedPageBreak/>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636FC762" w14:textId="14D79B0F" w:rsidR="00452247" w:rsidRDefault="00452247" w:rsidP="005C201F">
            <w:pPr>
              <w:spacing w:line="259" w:lineRule="auto"/>
              <w:jc w:val="left"/>
            </w:pPr>
            <w:r>
              <w:t>110.10.01.0</w:t>
            </w:r>
            <w:r w:rsidR="00814A7D">
              <w:t>21</w:t>
            </w:r>
            <w:r>
              <w:t>-</w:t>
            </w:r>
          </w:p>
          <w:p w14:paraId="5240E8BF" w14:textId="0ABB746B" w:rsidR="00452247" w:rsidRDefault="00452247" w:rsidP="005C201F">
            <w:pPr>
              <w:spacing w:line="259" w:lineRule="auto"/>
              <w:jc w:val="left"/>
            </w:pPr>
            <w:r>
              <w:t>202</w:t>
            </w:r>
            <w:r w:rsidR="00814A7D">
              <w:t>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F2DC1AD" w14:textId="643281EB" w:rsidR="00452247" w:rsidRDefault="00452247" w:rsidP="005C201F">
            <w:pPr>
              <w:spacing w:line="259" w:lineRule="auto"/>
              <w:jc w:val="left"/>
            </w:pPr>
            <w:r>
              <w:t>110.10.01.-</w:t>
            </w:r>
            <w:r w:rsidR="004D1407">
              <w:t>019-</w:t>
            </w:r>
            <w:r>
              <w:t xml:space="preserve">2021 </w:t>
            </w:r>
          </w:p>
        </w:tc>
        <w:tc>
          <w:tcPr>
            <w:tcW w:w="2318" w:type="dxa"/>
            <w:tcBorders>
              <w:top w:val="single" w:sz="3" w:space="0" w:color="000000"/>
              <w:left w:val="single" w:sz="3" w:space="0" w:color="000000"/>
              <w:bottom w:val="single" w:sz="3" w:space="0" w:color="000000"/>
              <w:right w:val="single" w:sz="3" w:space="0" w:color="000000"/>
            </w:tcBorders>
          </w:tcPr>
          <w:p w14:paraId="396BDEF8" w14:textId="3611B4CC" w:rsidR="00452247" w:rsidRDefault="00452247" w:rsidP="005C201F">
            <w:pPr>
              <w:spacing w:line="259" w:lineRule="auto"/>
              <w:jc w:val="left"/>
            </w:pPr>
            <w:r>
              <w:t>110.10.01.0-</w:t>
            </w:r>
            <w:r w:rsidR="00BF7D1D">
              <w:t>034-</w:t>
            </w:r>
            <w:r>
              <w:t>2022</w:t>
            </w:r>
          </w:p>
        </w:tc>
      </w:tr>
      <w:tr w:rsidR="00452247" w14:paraId="37489B1C" w14:textId="77777777" w:rsidTr="005C201F">
        <w:trPr>
          <w:trHeight w:val="2437"/>
        </w:trPr>
        <w:tc>
          <w:tcPr>
            <w:tcW w:w="1693" w:type="dxa"/>
            <w:tcBorders>
              <w:top w:val="single" w:sz="3" w:space="0" w:color="000000"/>
              <w:left w:val="single" w:sz="3" w:space="0" w:color="000000"/>
              <w:bottom w:val="single" w:sz="3" w:space="0" w:color="000000"/>
              <w:right w:val="single" w:sz="3" w:space="0" w:color="000000"/>
            </w:tcBorders>
          </w:tcPr>
          <w:p w14:paraId="3F9F32F3" w14:textId="77777777" w:rsidR="00452247" w:rsidRDefault="00452247" w:rsidP="005C201F">
            <w:pPr>
              <w:spacing w:line="259" w:lineRule="auto"/>
              <w:ind w:right="68"/>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59727169" w14:textId="4C309161" w:rsidR="00452247" w:rsidRDefault="00814A7D" w:rsidP="005C201F">
            <w:pPr>
              <w:spacing w:line="259" w:lineRule="auto"/>
              <w:jc w:val="left"/>
            </w:pPr>
            <w:r>
              <w:t>PRESTAR LOS SEVICIOS PROFESIONALES PARA REALIZAR ESTRTEGIAS DE ATENCION Y PREVENCION A LA POBLACION VICTIMAS DEL CONFILCTO EN EL MUNICIPIO DE HATO COROZAL CASANARE</w:t>
            </w:r>
          </w:p>
        </w:tc>
        <w:tc>
          <w:tcPr>
            <w:tcW w:w="2552" w:type="dxa"/>
            <w:tcBorders>
              <w:top w:val="single" w:sz="3" w:space="0" w:color="000000"/>
              <w:left w:val="single" w:sz="3" w:space="0" w:color="000000"/>
              <w:bottom w:val="single" w:sz="3" w:space="0" w:color="000000"/>
              <w:right w:val="single" w:sz="3" w:space="0" w:color="000000"/>
            </w:tcBorders>
          </w:tcPr>
          <w:p w14:paraId="1675C0E2" w14:textId="7E8493E7" w:rsidR="00452247" w:rsidRDefault="0068643F" w:rsidP="005C201F">
            <w:pPr>
              <w:tabs>
                <w:tab w:val="center" w:pos="1480"/>
              </w:tabs>
              <w:spacing w:line="259" w:lineRule="auto"/>
              <w:jc w:val="left"/>
            </w:pPr>
            <w:r>
              <w:t>“</w:t>
            </w:r>
            <w:r>
              <w:t>FORTALECER LAS ACTIVIDADES DE ATENCION Y ORIENTACION INTEGRAL DE LAS VICTIMAS DEL CONFLICTO ARMADO INTERNO DEL MUNICIPIO DE HATO COROZAL CASANARE</w:t>
            </w:r>
            <w:r>
              <w:t>”</w:t>
            </w:r>
          </w:p>
        </w:tc>
        <w:tc>
          <w:tcPr>
            <w:tcW w:w="2318" w:type="dxa"/>
            <w:tcBorders>
              <w:top w:val="single" w:sz="3" w:space="0" w:color="000000"/>
              <w:left w:val="single" w:sz="3" w:space="0" w:color="000000"/>
              <w:bottom w:val="single" w:sz="3" w:space="0" w:color="000000"/>
              <w:right w:val="single" w:sz="3" w:space="0" w:color="000000"/>
            </w:tcBorders>
          </w:tcPr>
          <w:p w14:paraId="3E755B9E" w14:textId="4D5D1FBC" w:rsidR="00452247" w:rsidRDefault="004D1407" w:rsidP="005C201F">
            <w:pPr>
              <w:tabs>
                <w:tab w:val="center" w:pos="1480"/>
              </w:tabs>
              <w:spacing w:line="259" w:lineRule="auto"/>
              <w:jc w:val="left"/>
            </w:pPr>
            <w:r w:rsidRPr="004D1407">
              <w:t>APOYAR LAS ACCIONES DE FORTALECIMIENTO A LA COMUNIDAD VÍCTIMA DEL CONFLICTO ARMADO DEL MUNICIPIO DE HATO COROZAL.</w:t>
            </w:r>
          </w:p>
        </w:tc>
      </w:tr>
      <w:tr w:rsidR="00452247" w14:paraId="32DDA82E"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77734B6C" w14:textId="77777777" w:rsidR="00452247" w:rsidRDefault="00452247" w:rsidP="005C201F">
            <w:pPr>
              <w:spacing w:line="259" w:lineRule="auto"/>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1D216EAA" w14:textId="5C2FD4CB" w:rsidR="00452247" w:rsidRDefault="00452247" w:rsidP="005C201F">
            <w:pPr>
              <w:spacing w:line="259" w:lineRule="auto"/>
              <w:jc w:val="left"/>
            </w:pPr>
            <w:r>
              <w:t xml:space="preserve"> </w:t>
            </w:r>
            <w:r w:rsidR="00814A7D">
              <w:t>$</w:t>
            </w:r>
            <w:r w:rsidR="00814A7D">
              <w:t xml:space="preserve"> </w:t>
            </w:r>
            <w:r w:rsidR="00814A7D">
              <w:t>31.000. 000</w:t>
            </w:r>
          </w:p>
        </w:tc>
        <w:tc>
          <w:tcPr>
            <w:tcW w:w="2552" w:type="dxa"/>
            <w:tcBorders>
              <w:top w:val="single" w:sz="3" w:space="0" w:color="000000"/>
              <w:left w:val="single" w:sz="3" w:space="0" w:color="000000"/>
              <w:bottom w:val="single" w:sz="3" w:space="0" w:color="000000"/>
              <w:right w:val="single" w:sz="3" w:space="0" w:color="000000"/>
            </w:tcBorders>
          </w:tcPr>
          <w:p w14:paraId="269F3020" w14:textId="6F67D5E9" w:rsidR="00452247" w:rsidRDefault="00452247" w:rsidP="005C201F">
            <w:pPr>
              <w:spacing w:line="259" w:lineRule="auto"/>
              <w:jc w:val="left"/>
            </w:pPr>
            <w:r>
              <w:t xml:space="preserve"> </w:t>
            </w:r>
            <w:r w:rsidR="0068643F">
              <w:t>$15.500. 000</w:t>
            </w:r>
            <w:r>
              <w:t>,00</w:t>
            </w:r>
          </w:p>
        </w:tc>
        <w:tc>
          <w:tcPr>
            <w:tcW w:w="2318" w:type="dxa"/>
            <w:tcBorders>
              <w:top w:val="single" w:sz="3" w:space="0" w:color="000000"/>
              <w:left w:val="single" w:sz="3" w:space="0" w:color="000000"/>
              <w:bottom w:val="single" w:sz="3" w:space="0" w:color="000000"/>
              <w:right w:val="single" w:sz="3" w:space="0" w:color="000000"/>
            </w:tcBorders>
          </w:tcPr>
          <w:p w14:paraId="4405F03A" w14:textId="016C7859" w:rsidR="00452247" w:rsidRDefault="00452247" w:rsidP="005C201F">
            <w:pPr>
              <w:spacing w:line="259" w:lineRule="auto"/>
              <w:jc w:val="left"/>
            </w:pPr>
            <w:r>
              <w:t>$</w:t>
            </w:r>
            <w:r w:rsidR="004D1407">
              <w:t xml:space="preserve"> </w:t>
            </w:r>
            <w:r w:rsidR="00FE3B10">
              <w:t>17.400.000,00</w:t>
            </w:r>
          </w:p>
        </w:tc>
      </w:tr>
      <w:tr w:rsidR="00452247" w14:paraId="37AC2DFE" w14:textId="77777777" w:rsidTr="005C201F">
        <w:trPr>
          <w:trHeight w:val="690"/>
        </w:trPr>
        <w:tc>
          <w:tcPr>
            <w:tcW w:w="1693" w:type="dxa"/>
            <w:tcBorders>
              <w:top w:val="single" w:sz="3" w:space="0" w:color="000000"/>
              <w:left w:val="single" w:sz="3" w:space="0" w:color="000000"/>
              <w:bottom w:val="single" w:sz="3" w:space="0" w:color="000000"/>
              <w:right w:val="single" w:sz="3" w:space="0" w:color="000000"/>
            </w:tcBorders>
          </w:tcPr>
          <w:p w14:paraId="7C89AEA5" w14:textId="77777777" w:rsidR="00452247" w:rsidRDefault="00452247" w:rsidP="005C201F">
            <w:pPr>
              <w:spacing w:line="259" w:lineRule="auto"/>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48FDEA26" w14:textId="439F8E91" w:rsidR="00452247" w:rsidRDefault="0068643F" w:rsidP="005C201F">
            <w:pPr>
              <w:spacing w:line="259" w:lineRule="auto"/>
              <w:jc w:val="left"/>
            </w:pPr>
            <w:r>
              <w:t>cinco</w:t>
            </w:r>
            <w:r w:rsidR="00452247">
              <w:tab/>
              <w:t>(0</w:t>
            </w:r>
            <w:r w:rsidR="00814A7D">
              <w:t>5</w:t>
            </w:r>
            <w:r w:rsidR="00452247">
              <w:t xml:space="preserve">) pagos parciales y Un </w:t>
            </w:r>
            <w:r w:rsidR="00452247">
              <w:tab/>
              <w:t xml:space="preserve">(01) </w:t>
            </w:r>
            <w:r w:rsidR="00452247">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500C9789" w14:textId="35883C75" w:rsidR="00452247" w:rsidRDefault="0068643F" w:rsidP="005C201F">
            <w:pPr>
              <w:spacing w:line="259" w:lineRule="auto"/>
            </w:pPr>
            <w:r>
              <w:t>cuatro</w:t>
            </w:r>
            <w:r w:rsidR="00452247">
              <w:t xml:space="preserve"> (0</w:t>
            </w:r>
            <w:r>
              <w:t>4</w:t>
            </w:r>
            <w:r w:rsidR="00452247">
              <w:t xml:space="preserve">)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0E1E338C" w14:textId="77777777" w:rsidR="00452247" w:rsidRDefault="00452247" w:rsidP="005C201F">
            <w:pPr>
              <w:spacing w:line="259" w:lineRule="auto"/>
            </w:pPr>
            <w:r>
              <w:t>Cinco (5) pagos parciales y Un (01) pago final</w:t>
            </w:r>
          </w:p>
        </w:tc>
      </w:tr>
      <w:tr w:rsidR="00452247" w14:paraId="4B1E8567" w14:textId="77777777" w:rsidTr="005C201F">
        <w:trPr>
          <w:trHeight w:val="953"/>
        </w:trPr>
        <w:tc>
          <w:tcPr>
            <w:tcW w:w="1693" w:type="dxa"/>
            <w:tcBorders>
              <w:top w:val="single" w:sz="3" w:space="0" w:color="000000"/>
              <w:left w:val="single" w:sz="3" w:space="0" w:color="000000"/>
              <w:bottom w:val="single" w:sz="3" w:space="0" w:color="000000"/>
              <w:right w:val="single" w:sz="3" w:space="0" w:color="000000"/>
            </w:tcBorders>
          </w:tcPr>
          <w:p w14:paraId="636D4296" w14:textId="77777777" w:rsidR="00452247" w:rsidRPr="00AA3155" w:rsidRDefault="00452247" w:rsidP="005C201F">
            <w:pPr>
              <w:spacing w:line="259" w:lineRule="auto"/>
              <w:ind w:right="67"/>
              <w:rPr>
                <w:sz w:val="20"/>
                <w:szCs w:val="20"/>
              </w:rPr>
            </w:pPr>
            <w:r w:rsidRPr="00AA3155">
              <w:rPr>
                <w:b/>
                <w:sz w:val="20"/>
                <w:szCs w:val="20"/>
              </w:rPr>
              <w:t xml:space="preserve">No. DE </w:t>
            </w:r>
          </w:p>
          <w:p w14:paraId="71A0621C" w14:textId="77777777" w:rsidR="00452247" w:rsidRPr="00AA3155" w:rsidRDefault="00452247" w:rsidP="005C201F">
            <w:pPr>
              <w:spacing w:line="259" w:lineRule="auto"/>
              <w:jc w:val="left"/>
              <w:rPr>
                <w:sz w:val="20"/>
                <w:szCs w:val="20"/>
              </w:rPr>
            </w:pPr>
            <w:r w:rsidRPr="00AA3155">
              <w:rPr>
                <w:b/>
                <w:sz w:val="20"/>
                <w:szCs w:val="20"/>
              </w:rPr>
              <w:t xml:space="preserve">PROPONENTES </w:t>
            </w:r>
          </w:p>
          <w:p w14:paraId="30E0C269" w14:textId="77777777" w:rsidR="00452247" w:rsidRDefault="00452247" w:rsidP="005C201F">
            <w:pPr>
              <w:spacing w:line="259" w:lineRule="auto"/>
            </w:pPr>
            <w:r w:rsidRPr="00AA3155">
              <w:rPr>
                <w:b/>
                <w:sz w:val="20"/>
                <w:szCs w:val="20"/>
              </w:rPr>
              <w:t>PARTICIPANTES</w:t>
            </w:r>
            <w:r>
              <w:rPr>
                <w:b/>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6627DD86" w14:textId="77777777" w:rsidR="00223722" w:rsidRDefault="00223722" w:rsidP="005C201F">
            <w:pPr>
              <w:spacing w:line="259" w:lineRule="auto"/>
              <w:jc w:val="left"/>
            </w:pPr>
          </w:p>
          <w:p w14:paraId="398F01E6" w14:textId="61FDF188" w:rsidR="00452247" w:rsidRDefault="00452247" w:rsidP="005C201F">
            <w:pPr>
              <w:spacing w:line="259" w:lineRule="auto"/>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6205C249" w14:textId="77777777" w:rsidR="00223722" w:rsidRDefault="00223722" w:rsidP="005C201F">
            <w:pPr>
              <w:spacing w:line="259" w:lineRule="auto"/>
              <w:jc w:val="left"/>
            </w:pPr>
          </w:p>
          <w:p w14:paraId="3E48A088" w14:textId="226A45D5" w:rsidR="00452247" w:rsidRDefault="00452247" w:rsidP="005C201F">
            <w:pPr>
              <w:spacing w:line="259" w:lineRule="auto"/>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722F0FEC" w14:textId="77777777" w:rsidR="00223722" w:rsidRDefault="00223722" w:rsidP="005C201F">
            <w:pPr>
              <w:spacing w:line="259" w:lineRule="auto"/>
              <w:jc w:val="left"/>
            </w:pPr>
          </w:p>
          <w:p w14:paraId="0343624B" w14:textId="11FB566B" w:rsidR="00452247" w:rsidRDefault="00FE3B10" w:rsidP="005C201F">
            <w:pPr>
              <w:spacing w:line="259" w:lineRule="auto"/>
              <w:jc w:val="left"/>
            </w:pPr>
            <w:r>
              <w:t>Uno (01)</w:t>
            </w:r>
            <w:r>
              <w:t xml:space="preserve"> </w:t>
            </w:r>
          </w:p>
        </w:tc>
      </w:tr>
      <w:tr w:rsidR="00452247" w14:paraId="67AE480E" w14:textId="77777777" w:rsidTr="005C201F">
        <w:trPr>
          <w:trHeight w:val="560"/>
        </w:trPr>
        <w:tc>
          <w:tcPr>
            <w:tcW w:w="1693" w:type="dxa"/>
            <w:tcBorders>
              <w:top w:val="single" w:sz="3" w:space="0" w:color="000000"/>
              <w:left w:val="single" w:sz="3" w:space="0" w:color="000000"/>
              <w:bottom w:val="single" w:sz="3" w:space="0" w:color="000000"/>
              <w:right w:val="single" w:sz="3" w:space="0" w:color="000000"/>
            </w:tcBorders>
          </w:tcPr>
          <w:p w14:paraId="6CF09610" w14:textId="77777777" w:rsidR="00452247" w:rsidRDefault="00452247" w:rsidP="005C201F">
            <w:pPr>
              <w:spacing w:line="259" w:lineRule="auto"/>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B9C5E4" w14:textId="329311A8" w:rsidR="00452247" w:rsidRDefault="00814A7D" w:rsidP="005C201F">
            <w:pPr>
              <w:spacing w:line="259" w:lineRule="auto"/>
              <w:jc w:val="left"/>
            </w:pPr>
            <w:r>
              <w:t>$31.000. 000</w:t>
            </w:r>
          </w:p>
        </w:tc>
        <w:tc>
          <w:tcPr>
            <w:tcW w:w="2552" w:type="dxa"/>
            <w:tcBorders>
              <w:top w:val="single" w:sz="3" w:space="0" w:color="000000"/>
              <w:left w:val="single" w:sz="3" w:space="0" w:color="000000"/>
              <w:bottom w:val="single" w:sz="3" w:space="0" w:color="000000"/>
              <w:right w:val="single" w:sz="3" w:space="0" w:color="000000"/>
            </w:tcBorders>
          </w:tcPr>
          <w:p w14:paraId="45E9B330" w14:textId="68EB8684" w:rsidR="00452247" w:rsidRDefault="00452247" w:rsidP="005C201F">
            <w:pPr>
              <w:spacing w:line="259" w:lineRule="auto"/>
              <w:jc w:val="left"/>
            </w:pPr>
            <w:r>
              <w:t xml:space="preserve"> </w:t>
            </w:r>
            <w:r w:rsidR="004D1407">
              <w:t>$15.500. 000</w:t>
            </w:r>
            <w:r>
              <w:t xml:space="preserve">,00 </w:t>
            </w:r>
          </w:p>
        </w:tc>
        <w:tc>
          <w:tcPr>
            <w:tcW w:w="2318" w:type="dxa"/>
            <w:tcBorders>
              <w:top w:val="single" w:sz="3" w:space="0" w:color="000000"/>
              <w:left w:val="single" w:sz="3" w:space="0" w:color="000000"/>
              <w:bottom w:val="single" w:sz="3" w:space="0" w:color="000000"/>
              <w:right w:val="single" w:sz="3" w:space="0" w:color="000000"/>
            </w:tcBorders>
          </w:tcPr>
          <w:p w14:paraId="318C1FD7" w14:textId="51BB7700" w:rsidR="00452247" w:rsidRDefault="00FE3B10" w:rsidP="005C201F">
            <w:pPr>
              <w:spacing w:line="259" w:lineRule="auto"/>
              <w:jc w:val="left"/>
            </w:pPr>
            <w:r>
              <w:t>17.400.000,00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08706D4C"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C1DC42A" w14:textId="77777777" w:rsidR="00EB244E" w:rsidRPr="00EF7FD9" w:rsidRDefault="00EB244E" w:rsidP="005B4824">
      <w:pPr>
        <w:widowControl w:val="0"/>
        <w:suppressAutoHyphens/>
        <w:rPr>
          <w:rFonts w:ascii="Arial" w:hAnsi="Arial" w:cs="Arial"/>
          <w:b/>
          <w:bCs/>
          <w:color w:val="000000"/>
          <w:sz w:val="22"/>
          <w:szCs w:val="22"/>
          <w:lang w:eastAsia="es-CO"/>
        </w:rPr>
      </w:pPr>
    </w:p>
    <w:p w14:paraId="7E59CC56" w14:textId="347D362C" w:rsidR="005B4824" w:rsidRPr="00EF7FD9" w:rsidRDefault="005B4824" w:rsidP="001A680F">
      <w:pPr>
        <w:pStyle w:val="Sinespaciado"/>
        <w:numPr>
          <w:ilvl w:val="0"/>
          <w:numId w:val="8"/>
        </w:numPr>
        <w:jc w:val="both"/>
        <w:rPr>
          <w:rFonts w:ascii="Arial" w:eastAsia="DejaVu Sans" w:hAnsi="Arial" w:cs="Arial"/>
          <w:bCs/>
          <w:kern w:val="1"/>
          <w:sz w:val="22"/>
          <w:szCs w:val="22"/>
          <w:lang w:val="es-ES" w:eastAsia="zh-CN"/>
        </w:rPr>
      </w:pPr>
      <w:r w:rsidRPr="00EF7FD9">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EF7FD9">
        <w:rPr>
          <w:rFonts w:ascii="Arial" w:eastAsia="Times New Roman" w:hAnsi="Arial" w:cs="Arial"/>
          <w:color w:val="000000"/>
          <w:sz w:val="22"/>
          <w:szCs w:val="22"/>
          <w:lang w:val="es-ES" w:eastAsia="es-CO"/>
        </w:rPr>
        <w:t>r el municipio de Hato Corozal</w:t>
      </w:r>
      <w:r w:rsidRPr="00EF7FD9">
        <w:rPr>
          <w:rFonts w:ascii="Arial" w:eastAsia="Times New Roman" w:hAnsi="Arial" w:cs="Arial"/>
          <w:color w:val="000000"/>
          <w:sz w:val="22"/>
          <w:szCs w:val="22"/>
          <w:lang w:val="es-ES" w:eastAsia="es-CO"/>
        </w:rPr>
        <w:t xml:space="preserve">, son todos aquellos que han suscritos contratos con el municipio y las personas naturales y jurídicas que no han suscrito procesos contractuales, siempre y cuando cumplan con el perfil requerido: </w:t>
      </w:r>
      <w:r w:rsidR="003E64F8" w:rsidRPr="003E64F8">
        <w:rPr>
          <w:rFonts w:ascii="Arial" w:eastAsia="Times New Roman" w:hAnsi="Arial" w:cs="Arial"/>
          <w:color w:val="000000"/>
          <w:sz w:val="22"/>
          <w:szCs w:val="22"/>
          <w:lang w:val="es-ES" w:eastAsia="es-CO"/>
        </w:rPr>
        <w:t xml:space="preserve">Para la ejecución del objeto contractual </w:t>
      </w:r>
      <w:r w:rsidR="00DE1DBF" w:rsidRPr="00DE1DBF">
        <w:rPr>
          <w:rFonts w:ascii="Arial" w:eastAsia="Times New Roman" w:hAnsi="Arial" w:cs="Arial"/>
          <w:color w:val="000000"/>
          <w:sz w:val="22"/>
          <w:szCs w:val="22"/>
          <w:lang w:val="es-ES" w:eastAsia="es-CO"/>
        </w:rPr>
        <w:t xml:space="preserve">Se requiere de una persona natural con título profesional en ciencias sociales y/o administrativas,  </w:t>
      </w:r>
      <w:r w:rsidR="00DE1DBF">
        <w:rPr>
          <w:rFonts w:ascii="Arial" w:eastAsia="Times New Roman" w:hAnsi="Arial" w:cs="Arial"/>
          <w:color w:val="000000"/>
          <w:sz w:val="22"/>
          <w:szCs w:val="22"/>
          <w:lang w:val="es-ES" w:eastAsia="es-CO"/>
        </w:rPr>
        <w:t xml:space="preserve">dos </w:t>
      </w:r>
      <w:r w:rsidR="00DE1DBF" w:rsidRPr="00DE1DBF">
        <w:rPr>
          <w:rFonts w:ascii="Arial" w:eastAsia="Times New Roman" w:hAnsi="Arial" w:cs="Arial"/>
          <w:color w:val="000000"/>
          <w:sz w:val="22"/>
          <w:szCs w:val="22"/>
          <w:lang w:val="es-ES" w:eastAsia="es-CO"/>
        </w:rPr>
        <w:t>(0</w:t>
      </w:r>
      <w:r w:rsidR="00DE1DBF">
        <w:rPr>
          <w:rFonts w:ascii="Arial" w:eastAsia="Times New Roman" w:hAnsi="Arial" w:cs="Arial"/>
          <w:color w:val="000000"/>
          <w:sz w:val="22"/>
          <w:szCs w:val="22"/>
          <w:lang w:val="es-ES" w:eastAsia="es-CO"/>
        </w:rPr>
        <w:t>2</w:t>
      </w:r>
      <w:r w:rsidR="00DE1DBF" w:rsidRPr="00DE1DBF">
        <w:rPr>
          <w:rFonts w:ascii="Arial" w:eastAsia="Times New Roman" w:hAnsi="Arial" w:cs="Arial"/>
          <w:color w:val="000000"/>
          <w:sz w:val="22"/>
          <w:szCs w:val="22"/>
          <w:lang w:val="es-ES" w:eastAsia="es-CO"/>
        </w:rPr>
        <w:t xml:space="preserve">) </w:t>
      </w:r>
      <w:r w:rsidR="00DE1DBF">
        <w:rPr>
          <w:rFonts w:ascii="Arial" w:eastAsia="Times New Roman" w:hAnsi="Arial" w:cs="Arial"/>
          <w:color w:val="000000"/>
          <w:sz w:val="22"/>
          <w:szCs w:val="22"/>
          <w:lang w:val="es-ES" w:eastAsia="es-CO"/>
        </w:rPr>
        <w:t>años</w:t>
      </w:r>
      <w:r w:rsidR="00DE1DBF" w:rsidRPr="00DE1DBF">
        <w:rPr>
          <w:rFonts w:ascii="Arial" w:eastAsia="Times New Roman" w:hAnsi="Arial" w:cs="Arial"/>
          <w:color w:val="000000"/>
          <w:sz w:val="22"/>
          <w:szCs w:val="22"/>
          <w:lang w:val="es-ES" w:eastAsia="es-CO"/>
        </w:rPr>
        <w:t xml:space="preserve">  de experiencia general y  </w:t>
      </w:r>
      <w:r w:rsidR="00DE1DBF">
        <w:rPr>
          <w:rFonts w:ascii="Arial" w:eastAsia="Times New Roman" w:hAnsi="Arial" w:cs="Arial"/>
          <w:color w:val="000000"/>
          <w:sz w:val="22"/>
          <w:szCs w:val="22"/>
          <w:lang w:val="es-ES" w:eastAsia="es-CO"/>
        </w:rPr>
        <w:t xml:space="preserve">un </w:t>
      </w:r>
      <w:r w:rsidR="00DE1DBF" w:rsidRPr="00DE1DBF">
        <w:rPr>
          <w:rFonts w:ascii="Arial" w:eastAsia="Times New Roman" w:hAnsi="Arial" w:cs="Arial"/>
          <w:color w:val="000000"/>
          <w:sz w:val="22"/>
          <w:szCs w:val="22"/>
          <w:lang w:val="es-ES" w:eastAsia="es-CO"/>
        </w:rPr>
        <w:t xml:space="preserve"> (0</w:t>
      </w:r>
      <w:r w:rsidR="00DE1DBF">
        <w:rPr>
          <w:rFonts w:ascii="Arial" w:eastAsia="Times New Roman" w:hAnsi="Arial" w:cs="Arial"/>
          <w:color w:val="000000"/>
          <w:sz w:val="22"/>
          <w:szCs w:val="22"/>
          <w:lang w:val="es-ES" w:eastAsia="es-CO"/>
        </w:rPr>
        <w:t>1</w:t>
      </w:r>
      <w:r w:rsidR="00DE1DBF" w:rsidRPr="00DE1DBF">
        <w:rPr>
          <w:rFonts w:ascii="Arial" w:eastAsia="Times New Roman" w:hAnsi="Arial" w:cs="Arial"/>
          <w:color w:val="000000"/>
          <w:sz w:val="22"/>
          <w:szCs w:val="22"/>
          <w:lang w:val="es-ES" w:eastAsia="es-CO"/>
        </w:rPr>
        <w:t xml:space="preserve">) </w:t>
      </w:r>
      <w:r w:rsidR="00DE1DBF">
        <w:rPr>
          <w:rFonts w:ascii="Arial" w:eastAsia="Times New Roman" w:hAnsi="Arial" w:cs="Arial"/>
          <w:color w:val="000000"/>
          <w:sz w:val="22"/>
          <w:szCs w:val="22"/>
          <w:lang w:val="es-ES" w:eastAsia="es-CO"/>
        </w:rPr>
        <w:t>año</w:t>
      </w:r>
      <w:r w:rsidR="00DE1DBF" w:rsidRPr="00DE1DBF">
        <w:rPr>
          <w:rFonts w:ascii="Arial" w:eastAsia="Times New Roman" w:hAnsi="Arial" w:cs="Arial"/>
          <w:color w:val="000000"/>
          <w:sz w:val="22"/>
          <w:szCs w:val="22"/>
          <w:lang w:val="es-ES" w:eastAsia="es-CO"/>
        </w:rPr>
        <w:t xml:space="preserve"> de relacionada en temas sociales y trabajo con comunidad.</w:t>
      </w:r>
      <w:r w:rsidR="00DE1DBF">
        <w:rPr>
          <w:rFonts w:ascii="Arial" w:eastAsia="Times New Roman" w:hAnsi="Arial" w:cs="Arial"/>
          <w:color w:val="000000"/>
          <w:sz w:val="22"/>
          <w:szCs w:val="22"/>
          <w:lang w:val="es-ES" w:eastAsia="es-CO"/>
        </w:rPr>
        <w:t xml:space="preserve"> </w:t>
      </w:r>
      <w:r w:rsidR="001A680F" w:rsidRPr="00EF7FD9">
        <w:rPr>
          <w:rFonts w:ascii="Arial" w:eastAsia="Times New Roman" w:hAnsi="Arial" w:cs="Arial"/>
          <w:color w:val="000000"/>
          <w:sz w:val="22"/>
          <w:szCs w:val="22"/>
          <w:lang w:val="es-ES" w:eastAsia="es-CO"/>
        </w:rPr>
        <w:t>en el sector público o privado, para de esta manera garantizar la idoneidad para el cumplimiento del contrato</w:t>
      </w:r>
    </w:p>
    <w:p w14:paraId="56010A75" w14:textId="77777777" w:rsidR="005B4824" w:rsidRPr="00EF7FD9" w:rsidRDefault="005B4824" w:rsidP="005B4824">
      <w:pPr>
        <w:pStyle w:val="Sinespaciado"/>
        <w:ind w:left="360"/>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3EA42D6B" w:rsidR="005B4824" w:rsidRPr="00EF7FD9" w:rsidRDefault="002C4A77" w:rsidP="005B4824">
      <w:pPr>
        <w:widowControl w:val="0"/>
        <w:numPr>
          <w:ilvl w:val="0"/>
          <w:numId w:val="9"/>
        </w:numPr>
        <w:suppressAutoHyphens/>
        <w:rPr>
          <w:rFonts w:ascii="Arial" w:eastAsia="Calibri" w:hAnsi="Arial" w:cs="Arial"/>
          <w:sz w:val="22"/>
          <w:szCs w:val="22"/>
          <w:lang w:val="es-MX" w:eastAsia="es-MX"/>
        </w:rPr>
      </w:pPr>
      <w:r>
        <w:rPr>
          <w:noProof/>
          <w:lang w:val="es-CO" w:eastAsia="es-CO"/>
        </w:rPr>
        <w:drawing>
          <wp:anchor distT="0" distB="0" distL="114300" distR="114300" simplePos="0" relativeHeight="251659264" behindDoc="0" locked="0" layoutInCell="1" allowOverlap="1" wp14:anchorId="1545CD78" wp14:editId="07DEBA06">
            <wp:simplePos x="0" y="0"/>
            <wp:positionH relativeFrom="column">
              <wp:posOffset>2680970</wp:posOffset>
            </wp:positionH>
            <wp:positionV relativeFrom="paragraph">
              <wp:posOffset>85725</wp:posOffset>
            </wp:positionV>
            <wp:extent cx="657860" cy="3038475"/>
            <wp:effectExtent l="0" t="9208" r="0" b="0"/>
            <wp:wrapThrough wrapText="bothSides">
              <wp:wrapPolygon edited="0">
                <wp:start x="-302" y="6367"/>
                <wp:lineTo x="323" y="6503"/>
                <wp:lineTo x="10331" y="18826"/>
                <wp:lineTo x="19088" y="16930"/>
                <wp:lineTo x="20339" y="16795"/>
                <wp:lineTo x="20339" y="15982"/>
                <wp:lineTo x="19088" y="15847"/>
                <wp:lineTo x="10331" y="4336"/>
                <wp:lineTo x="10331" y="4200"/>
                <wp:lineTo x="949" y="3523"/>
                <wp:lineTo x="-302" y="3659"/>
                <wp:lineTo x="-302" y="63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65786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A0BE704" w:rsidR="005B4824" w:rsidRPr="00EF7FD9" w:rsidRDefault="005B4824" w:rsidP="005B4824">
      <w:pPr>
        <w:jc w:val="center"/>
        <w:rPr>
          <w:rFonts w:ascii="Arial" w:hAnsi="Arial" w:cs="Arial"/>
          <w:sz w:val="22"/>
          <w:szCs w:val="22"/>
        </w:rPr>
      </w:pPr>
    </w:p>
    <w:p w14:paraId="72F651DD" w14:textId="75338FFF" w:rsidR="005B4824" w:rsidRPr="00EF7FD9" w:rsidRDefault="005B4824" w:rsidP="005B4824">
      <w:pPr>
        <w:rPr>
          <w:rFonts w:ascii="Arial" w:hAnsi="Arial" w:cs="Arial"/>
          <w:sz w:val="22"/>
          <w:szCs w:val="22"/>
        </w:rPr>
      </w:pPr>
    </w:p>
    <w:p w14:paraId="6EAF8C02" w14:textId="00FB2AC3" w:rsidR="005B4824" w:rsidRDefault="005B4824" w:rsidP="002C4A77">
      <w:pPr>
        <w:jc w:val="center"/>
        <w:rPr>
          <w:rFonts w:ascii="Arial" w:hAnsi="Arial" w:cs="Arial"/>
          <w:sz w:val="22"/>
          <w:szCs w:val="22"/>
        </w:rPr>
      </w:pPr>
    </w:p>
    <w:p w14:paraId="0D281EE3" w14:textId="28F4EEBA" w:rsidR="002C4A77" w:rsidRPr="00EF7FD9" w:rsidRDefault="002C4A77" w:rsidP="005B4824">
      <w:pPr>
        <w:rPr>
          <w:rFonts w:ascii="Arial" w:hAnsi="Arial" w:cs="Arial"/>
          <w:sz w:val="22"/>
          <w:szCs w:val="22"/>
        </w:rPr>
      </w:pPr>
    </w:p>
    <w:p w14:paraId="59238978" w14:textId="6636EC30" w:rsidR="002C4A77" w:rsidRDefault="002C4A77" w:rsidP="002C4A77">
      <w:pPr>
        <w:jc w:val="center"/>
        <w:rPr>
          <w:rFonts w:ascii="Arial" w:hAnsi="Arial" w:cs="Arial"/>
          <w:sz w:val="22"/>
          <w:szCs w:val="22"/>
        </w:rPr>
      </w:pPr>
    </w:p>
    <w:p w14:paraId="7AE8CFC0" w14:textId="77777777" w:rsidR="002C4A77" w:rsidRDefault="002C4A77" w:rsidP="002C4A77">
      <w:pPr>
        <w:jc w:val="center"/>
        <w:rPr>
          <w:rFonts w:ascii="Arial" w:hAnsi="Arial" w:cs="Arial"/>
          <w:sz w:val="22"/>
          <w:szCs w:val="22"/>
        </w:rPr>
      </w:pPr>
    </w:p>
    <w:p w14:paraId="5F9B2B53" w14:textId="5813C4F2" w:rsidR="005B4824" w:rsidRPr="00EF7FD9" w:rsidRDefault="005B4824" w:rsidP="002C4A77">
      <w:pPr>
        <w:jc w:val="center"/>
        <w:rPr>
          <w:rFonts w:ascii="Arial" w:hAnsi="Arial" w:cs="Arial"/>
          <w:sz w:val="22"/>
          <w:szCs w:val="22"/>
        </w:rPr>
      </w:pPr>
    </w:p>
    <w:p w14:paraId="32AE71A5" w14:textId="4E760AC8" w:rsidR="001A680F" w:rsidRPr="002C4A77" w:rsidRDefault="001A680F" w:rsidP="001A680F">
      <w:pPr>
        <w:pStyle w:val="TableParagraph"/>
        <w:ind w:right="257"/>
        <w:jc w:val="center"/>
        <w:rPr>
          <w:b/>
          <w:sz w:val="24"/>
          <w:szCs w:val="24"/>
        </w:rPr>
      </w:pPr>
      <w:r w:rsidRPr="002C4A77">
        <w:rPr>
          <w:rFonts w:eastAsia="Times New Roman"/>
          <w:b/>
          <w:sz w:val="24"/>
          <w:szCs w:val="24"/>
          <w:lang w:val="es-CO" w:eastAsia="es-CO"/>
        </w:rPr>
        <w:t xml:space="preserve"> </w:t>
      </w:r>
      <w:r w:rsidR="00E6411D" w:rsidRPr="002C4A77">
        <w:rPr>
          <w:b/>
          <w:sz w:val="24"/>
          <w:szCs w:val="24"/>
        </w:rPr>
        <w:t>JULIETH GISSELA BERNAL RINCON</w:t>
      </w:r>
    </w:p>
    <w:p w14:paraId="694A9B75" w14:textId="0B49E28F" w:rsidR="001A680F" w:rsidRPr="00EF7FD9" w:rsidRDefault="00E6411D" w:rsidP="001A680F">
      <w:pPr>
        <w:pStyle w:val="TableParagraph"/>
        <w:ind w:right="257"/>
        <w:jc w:val="center"/>
      </w:pPr>
      <w:r>
        <w:t>Secretaria General y de Gobierno</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09DE" w14:textId="77777777" w:rsidR="00FB069D" w:rsidRDefault="00FB069D" w:rsidP="00AD0713">
      <w:r>
        <w:separator/>
      </w:r>
    </w:p>
  </w:endnote>
  <w:endnote w:type="continuationSeparator" w:id="0">
    <w:p w14:paraId="4024735C" w14:textId="77777777" w:rsidR="00FB069D" w:rsidRDefault="00FB069D"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2AAD517"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F7FD9">
      <w:rPr>
        <w:rStyle w:val="Nmerodepgina"/>
        <w:noProof/>
        <w:sz w:val="18"/>
        <w:szCs w:val="18"/>
      </w:rPr>
      <w:t>10</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75A7" w14:textId="77777777" w:rsidR="00FB069D" w:rsidRDefault="00FB069D" w:rsidP="00AD0713">
      <w:r>
        <w:separator/>
      </w:r>
    </w:p>
  </w:footnote>
  <w:footnote w:type="continuationSeparator" w:id="0">
    <w:p w14:paraId="7E4B44A7" w14:textId="77777777" w:rsidR="00FB069D" w:rsidRDefault="00FB069D"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F9BB52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EF7FD9">
                <w:rPr>
                  <w:rFonts w:cs="Arial"/>
                  <w:noProof/>
                </w:rPr>
                <w:t>10</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EF7FD9">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451783">
    <w:abstractNumId w:val="2"/>
  </w:num>
  <w:num w:numId="2" w16cid:durableId="1136990973">
    <w:abstractNumId w:val="9"/>
  </w:num>
  <w:num w:numId="3" w16cid:durableId="2137095917">
    <w:abstractNumId w:val="5"/>
  </w:num>
  <w:num w:numId="4" w16cid:durableId="817574631">
    <w:abstractNumId w:val="7"/>
  </w:num>
  <w:num w:numId="5" w16cid:durableId="205064717">
    <w:abstractNumId w:val="3"/>
  </w:num>
  <w:num w:numId="6" w16cid:durableId="2103723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60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454361">
    <w:abstractNumId w:val="0"/>
  </w:num>
  <w:num w:numId="9" w16cid:durableId="1874881708">
    <w:abstractNumId w:val="4"/>
  </w:num>
  <w:num w:numId="10" w16cid:durableId="8307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475BE"/>
    <w:rsid w:val="00066A24"/>
    <w:rsid w:val="00095275"/>
    <w:rsid w:val="000A2823"/>
    <w:rsid w:val="000A2E5D"/>
    <w:rsid w:val="000A55CA"/>
    <w:rsid w:val="000B0D8C"/>
    <w:rsid w:val="000B2445"/>
    <w:rsid w:val="000C02F1"/>
    <w:rsid w:val="000C7C6A"/>
    <w:rsid w:val="000D1A4F"/>
    <w:rsid w:val="000E6952"/>
    <w:rsid w:val="001056DE"/>
    <w:rsid w:val="00122B1D"/>
    <w:rsid w:val="00135630"/>
    <w:rsid w:val="00167D67"/>
    <w:rsid w:val="0017117D"/>
    <w:rsid w:val="0018284D"/>
    <w:rsid w:val="00183027"/>
    <w:rsid w:val="001A680F"/>
    <w:rsid w:val="001B2E89"/>
    <w:rsid w:val="001C42DA"/>
    <w:rsid w:val="001D12F7"/>
    <w:rsid w:val="001E3A79"/>
    <w:rsid w:val="001F6753"/>
    <w:rsid w:val="00201559"/>
    <w:rsid w:val="00211D00"/>
    <w:rsid w:val="00214CA3"/>
    <w:rsid w:val="00217738"/>
    <w:rsid w:val="00222EA6"/>
    <w:rsid w:val="00223722"/>
    <w:rsid w:val="002734C2"/>
    <w:rsid w:val="002764A2"/>
    <w:rsid w:val="002770F1"/>
    <w:rsid w:val="002B07AC"/>
    <w:rsid w:val="002B4256"/>
    <w:rsid w:val="002B5749"/>
    <w:rsid w:val="002B6354"/>
    <w:rsid w:val="002C4A77"/>
    <w:rsid w:val="002C5AFB"/>
    <w:rsid w:val="002D6E78"/>
    <w:rsid w:val="002E7E08"/>
    <w:rsid w:val="002F400B"/>
    <w:rsid w:val="002F4755"/>
    <w:rsid w:val="003024A9"/>
    <w:rsid w:val="003048BD"/>
    <w:rsid w:val="00315DC5"/>
    <w:rsid w:val="00335B14"/>
    <w:rsid w:val="003450D2"/>
    <w:rsid w:val="003545E5"/>
    <w:rsid w:val="003556DE"/>
    <w:rsid w:val="00374140"/>
    <w:rsid w:val="003A5AFA"/>
    <w:rsid w:val="003B3E32"/>
    <w:rsid w:val="003C2748"/>
    <w:rsid w:val="003D5870"/>
    <w:rsid w:val="003D6286"/>
    <w:rsid w:val="003D65E2"/>
    <w:rsid w:val="003E64F8"/>
    <w:rsid w:val="00404656"/>
    <w:rsid w:val="00425983"/>
    <w:rsid w:val="00452247"/>
    <w:rsid w:val="004757FC"/>
    <w:rsid w:val="004824F0"/>
    <w:rsid w:val="004D1407"/>
    <w:rsid w:val="0050578E"/>
    <w:rsid w:val="0050666D"/>
    <w:rsid w:val="00507CFC"/>
    <w:rsid w:val="005248A1"/>
    <w:rsid w:val="0053085F"/>
    <w:rsid w:val="00555F12"/>
    <w:rsid w:val="00567044"/>
    <w:rsid w:val="00574D84"/>
    <w:rsid w:val="00576D99"/>
    <w:rsid w:val="00581C14"/>
    <w:rsid w:val="00592A0E"/>
    <w:rsid w:val="005B0889"/>
    <w:rsid w:val="005B3C98"/>
    <w:rsid w:val="005B4378"/>
    <w:rsid w:val="005B4824"/>
    <w:rsid w:val="005D5E38"/>
    <w:rsid w:val="00615EA6"/>
    <w:rsid w:val="006209E5"/>
    <w:rsid w:val="00630E1F"/>
    <w:rsid w:val="00636696"/>
    <w:rsid w:val="00654A32"/>
    <w:rsid w:val="00672622"/>
    <w:rsid w:val="0068643F"/>
    <w:rsid w:val="006A3C10"/>
    <w:rsid w:val="006B19B0"/>
    <w:rsid w:val="006C59E8"/>
    <w:rsid w:val="006C7169"/>
    <w:rsid w:val="006D556C"/>
    <w:rsid w:val="006E117B"/>
    <w:rsid w:val="006E5A03"/>
    <w:rsid w:val="006F3223"/>
    <w:rsid w:val="00711466"/>
    <w:rsid w:val="0071596E"/>
    <w:rsid w:val="007444F3"/>
    <w:rsid w:val="007457DE"/>
    <w:rsid w:val="00766842"/>
    <w:rsid w:val="00794607"/>
    <w:rsid w:val="007A2C50"/>
    <w:rsid w:val="007B4E3E"/>
    <w:rsid w:val="007E0314"/>
    <w:rsid w:val="007F7D81"/>
    <w:rsid w:val="008018DE"/>
    <w:rsid w:val="00814A7D"/>
    <w:rsid w:val="00814B66"/>
    <w:rsid w:val="00831AC8"/>
    <w:rsid w:val="00860C71"/>
    <w:rsid w:val="00876928"/>
    <w:rsid w:val="008A1B15"/>
    <w:rsid w:val="008A2E90"/>
    <w:rsid w:val="008A761C"/>
    <w:rsid w:val="008B4289"/>
    <w:rsid w:val="008D0297"/>
    <w:rsid w:val="008D22E4"/>
    <w:rsid w:val="00913404"/>
    <w:rsid w:val="00925295"/>
    <w:rsid w:val="009322BF"/>
    <w:rsid w:val="0094226C"/>
    <w:rsid w:val="0094368C"/>
    <w:rsid w:val="00945177"/>
    <w:rsid w:val="009C6790"/>
    <w:rsid w:val="009D70D4"/>
    <w:rsid w:val="00A0309B"/>
    <w:rsid w:val="00A05717"/>
    <w:rsid w:val="00A331EE"/>
    <w:rsid w:val="00A610C3"/>
    <w:rsid w:val="00A87FE4"/>
    <w:rsid w:val="00AA0D43"/>
    <w:rsid w:val="00AB42A6"/>
    <w:rsid w:val="00AC270F"/>
    <w:rsid w:val="00AC7CAE"/>
    <w:rsid w:val="00AD0713"/>
    <w:rsid w:val="00AF1C87"/>
    <w:rsid w:val="00B300D6"/>
    <w:rsid w:val="00B32182"/>
    <w:rsid w:val="00B5690A"/>
    <w:rsid w:val="00B6159B"/>
    <w:rsid w:val="00B64C7E"/>
    <w:rsid w:val="00B77FD0"/>
    <w:rsid w:val="00B92A9C"/>
    <w:rsid w:val="00BA16F7"/>
    <w:rsid w:val="00BA7216"/>
    <w:rsid w:val="00BA7BB3"/>
    <w:rsid w:val="00BB608A"/>
    <w:rsid w:val="00BC16EA"/>
    <w:rsid w:val="00BC1ED2"/>
    <w:rsid w:val="00BC542A"/>
    <w:rsid w:val="00BF3331"/>
    <w:rsid w:val="00BF7D1D"/>
    <w:rsid w:val="00C1103F"/>
    <w:rsid w:val="00C11565"/>
    <w:rsid w:val="00C17281"/>
    <w:rsid w:val="00C23088"/>
    <w:rsid w:val="00C26A55"/>
    <w:rsid w:val="00C35C93"/>
    <w:rsid w:val="00C3785F"/>
    <w:rsid w:val="00C450A4"/>
    <w:rsid w:val="00C666C6"/>
    <w:rsid w:val="00C67919"/>
    <w:rsid w:val="00C70E36"/>
    <w:rsid w:val="00C93888"/>
    <w:rsid w:val="00CA01B7"/>
    <w:rsid w:val="00CB233C"/>
    <w:rsid w:val="00CC013F"/>
    <w:rsid w:val="00CF22AA"/>
    <w:rsid w:val="00CF77C8"/>
    <w:rsid w:val="00D012AD"/>
    <w:rsid w:val="00D210D3"/>
    <w:rsid w:val="00D22EC6"/>
    <w:rsid w:val="00D476AA"/>
    <w:rsid w:val="00D47D35"/>
    <w:rsid w:val="00D603C2"/>
    <w:rsid w:val="00D673C2"/>
    <w:rsid w:val="00D71DAD"/>
    <w:rsid w:val="00D93250"/>
    <w:rsid w:val="00DB2969"/>
    <w:rsid w:val="00DE0394"/>
    <w:rsid w:val="00DE1839"/>
    <w:rsid w:val="00DE1DBF"/>
    <w:rsid w:val="00DF7245"/>
    <w:rsid w:val="00E00F00"/>
    <w:rsid w:val="00E10781"/>
    <w:rsid w:val="00E143F3"/>
    <w:rsid w:val="00E160EC"/>
    <w:rsid w:val="00E21E72"/>
    <w:rsid w:val="00E30EAD"/>
    <w:rsid w:val="00E406F4"/>
    <w:rsid w:val="00E54F9A"/>
    <w:rsid w:val="00E55C97"/>
    <w:rsid w:val="00E6411D"/>
    <w:rsid w:val="00E71F6C"/>
    <w:rsid w:val="00E77EF8"/>
    <w:rsid w:val="00E90442"/>
    <w:rsid w:val="00E95DA9"/>
    <w:rsid w:val="00E9749F"/>
    <w:rsid w:val="00EA419E"/>
    <w:rsid w:val="00EA70A4"/>
    <w:rsid w:val="00EB244E"/>
    <w:rsid w:val="00EC0E7C"/>
    <w:rsid w:val="00EC65BB"/>
    <w:rsid w:val="00EC708C"/>
    <w:rsid w:val="00ED0074"/>
    <w:rsid w:val="00EE015B"/>
    <w:rsid w:val="00EF0FD1"/>
    <w:rsid w:val="00EF7FD9"/>
    <w:rsid w:val="00F135A2"/>
    <w:rsid w:val="00F16F60"/>
    <w:rsid w:val="00F217A6"/>
    <w:rsid w:val="00F221A8"/>
    <w:rsid w:val="00F32AFC"/>
    <w:rsid w:val="00F63585"/>
    <w:rsid w:val="00F72A23"/>
    <w:rsid w:val="00F841A9"/>
    <w:rsid w:val="00F8706C"/>
    <w:rsid w:val="00FA740F"/>
    <w:rsid w:val="00FB069D"/>
    <w:rsid w:val="00FB0F7C"/>
    <w:rsid w:val="00FB52E2"/>
    <w:rsid w:val="00FC1AAE"/>
    <w:rsid w:val="00FC61B2"/>
    <w:rsid w:val="00FE34EB"/>
    <w:rsid w:val="00FE3B10"/>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eGrid">
    <w:name w:val="TableGrid"/>
    <w:rsid w:val="00452247"/>
    <w:rPr>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ADE-EA6D-4688-ACF7-A65DB00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4060</Words>
  <Characters>22335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rosmira saavedra vela</cp:lastModifiedBy>
  <cp:revision>13</cp:revision>
  <cp:lastPrinted>2022-07-20T21:57:00Z</cp:lastPrinted>
  <dcterms:created xsi:type="dcterms:W3CDTF">2022-07-20T22:00:00Z</dcterms:created>
  <dcterms:modified xsi:type="dcterms:W3CDTF">2022-07-24T20:40:00Z</dcterms:modified>
</cp:coreProperties>
</file>