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${nombresedesecundaria}</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${contratista}</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${nitproponente}</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${nombreproponente} ${apellidoproponente}</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w:t>
            </w:r>
            <w:proofErr w:type="spellStart"/>
            <w:r w:rsidRPr="002A530E">
              <w:rPr>
                <w:rFonts w:ascii="Arial" w:hAnsi="Arial" w:cs="Arial"/>
                <w:bCs/>
                <w:color w:val="FF0000"/>
                <w:sz w:val="20"/>
                <w:szCs w:val="20"/>
                <w:lang w:val="pt-BR"/>
              </w:rPr>
              <w:t>numeroidentificacionproponente</w:t>
            </w:r>
            <w:proofErr w:type="spellEnd"/>
            <w:r w:rsidRPr="002A530E">
              <w:rPr>
                <w:rFonts w:ascii="Arial" w:hAnsi="Arial" w:cs="Arial"/>
                <w:bCs/>
                <w:color w:val="FF0000"/>
                <w:sz w:val="20"/>
                <w:szCs w:val="20"/>
                <w:lang w:val="pt-BR"/>
              </w:rPr>
              <w:t>} de ${</w:t>
            </w:r>
            <w:proofErr w:type="spellStart"/>
            <w:r w:rsidRPr="002A530E">
              <w:rPr>
                <w:rFonts w:ascii="Arial" w:hAnsi="Arial" w:cs="Arial"/>
                <w:bCs/>
                <w:color w:val="FF0000"/>
                <w:sz w:val="20"/>
                <w:szCs w:val="20"/>
                <w:lang w:val="pt-BR"/>
              </w:rPr>
              <w:t>municipiocedulaproponente</w:t>
            </w:r>
            <w:proofErr w:type="spellEnd"/>
            <w:r w:rsidRPr="002A530E">
              <w:rPr>
                <w:rFonts w:ascii="Arial" w:hAnsi="Arial" w:cs="Arial"/>
                <w:bCs/>
                <w:color w:val="FF0000"/>
                <w:sz w:val="20"/>
                <w:szCs w:val="20"/>
                <w:lang w:val="pt-BR"/>
              </w:rPr>
              <w:t>}</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w:t>
            </w:r>
            <w:proofErr w:type="spellStart"/>
            <w:r w:rsidRPr="002A530E">
              <w:rPr>
                <w:rFonts w:ascii="Arial" w:hAnsi="Arial" w:cs="Arial"/>
                <w:bCs/>
                <w:color w:val="FF0000"/>
                <w:sz w:val="20"/>
                <w:szCs w:val="20"/>
                <w:lang w:val="es-ES"/>
              </w:rPr>
              <w:t>valoradjudicacioncontratistat</w:t>
            </w:r>
            <w:proofErr w:type="spellEnd"/>
            <w:r w:rsidRPr="002A530E">
              <w:rPr>
                <w:rFonts w:ascii="Arial" w:hAnsi="Arial" w:cs="Arial"/>
                <w:bCs/>
                <w:color w:val="FF0000"/>
                <w:sz w:val="20"/>
                <w:szCs w:val="20"/>
                <w:lang w:val="es-ES"/>
              </w:rPr>
              <w:t xml:space="preserve">}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w:t>
            </w:r>
            <w:proofErr w:type="spellStart"/>
            <w:r w:rsidRPr="002A530E">
              <w:rPr>
                <w:rFonts w:ascii="Arial" w:hAnsi="Arial" w:cs="Arial"/>
                <w:bCs/>
                <w:color w:val="FF0000"/>
                <w:sz w:val="20"/>
                <w:szCs w:val="20"/>
                <w:lang w:val="es-ES"/>
              </w:rPr>
              <w:t>valoradjudicacioncontratista</w:t>
            </w:r>
            <w:proofErr w:type="spellEnd"/>
            <w:r w:rsidRPr="002A530E">
              <w:rPr>
                <w:rFonts w:ascii="Arial" w:hAnsi="Arial" w:cs="Arial"/>
                <w:bCs/>
                <w:color w:val="FF0000"/>
                <w:sz w:val="20"/>
                <w:szCs w:val="20"/>
                <w:lang w:val="es-ES"/>
              </w:rPr>
              <w:t>})</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w:t>
            </w:r>
            <w:proofErr w:type="spellStart"/>
            <w:r w:rsidRPr="002A530E">
              <w:rPr>
                <w:rFonts w:ascii="Arial" w:hAnsi="Arial" w:cs="Arial"/>
                <w:bCs/>
                <w:color w:val="FF0000"/>
                <w:sz w:val="20"/>
                <w:szCs w:val="20"/>
                <w:lang w:val="es-ES"/>
              </w:rPr>
              <w:t>objetocontrato</w:t>
            </w:r>
            <w:proofErr w:type="spellEnd"/>
            <w:r w:rsidRPr="002A530E">
              <w:rPr>
                <w:rFonts w:ascii="Arial" w:hAnsi="Arial" w:cs="Arial"/>
                <w:bCs/>
                <w:color w:val="FF0000"/>
                <w:sz w:val="20"/>
                <w:szCs w:val="20"/>
                <w:lang w:val="es-ES"/>
              </w:rPr>
              <w:t>}</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w:t>
            </w:r>
            <w:proofErr w:type="spellStart"/>
            <w:r w:rsidRPr="002A530E">
              <w:rPr>
                <w:rFonts w:ascii="Arial" w:hAnsi="Arial" w:cs="Arial"/>
                <w:bCs/>
                <w:color w:val="FF0000"/>
                <w:sz w:val="20"/>
                <w:szCs w:val="20"/>
                <w:lang w:val="pt-BR"/>
              </w:rPr>
              <w:t>plazo</w:t>
            </w:r>
            <w:proofErr w:type="spellEnd"/>
            <w:r w:rsidRPr="002A530E">
              <w:rPr>
                <w:rFonts w:ascii="Arial" w:hAnsi="Arial" w:cs="Arial"/>
                <w:bCs/>
                <w:color w:val="FF0000"/>
                <w:sz w:val="20"/>
                <w:szCs w:val="20"/>
                <w:lang w:val="pt-BR"/>
              </w:rPr>
              <w:t>}</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w:t>
      </w:r>
      <w:proofErr w:type="spellStart"/>
      <w:r w:rsidR="00751992" w:rsidRPr="00576F8A">
        <w:rPr>
          <w:rFonts w:ascii="Arial" w:hAnsi="Arial" w:cs="Arial"/>
          <w:bCs/>
          <w:color w:val="FF0000"/>
          <w:sz w:val="20"/>
          <w:szCs w:val="20"/>
          <w:lang w:val="pt-BR"/>
        </w:rPr>
        <w:t>contratistat</w:t>
      </w:r>
      <w:proofErr w:type="spellEnd"/>
      <w:r w:rsidR="00751992" w:rsidRPr="00576F8A">
        <w:rPr>
          <w:rFonts w:ascii="Arial" w:hAnsi="Arial" w:cs="Arial"/>
          <w:bCs/>
          <w:color w:val="FF0000"/>
          <w:sz w:val="20"/>
          <w:szCs w:val="20"/>
          <w:lang w:val="pt-BR"/>
        </w:rPr>
        <w:t>}</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${descripcionnecesidadep}</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${tablaimputacionpresupuestalep}</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w:t>
            </w:r>
            <w:r w:rsidRPr="003A06F6">
              <w:rPr>
                <w:rFonts w:ascii="Arial" w:hAnsi="Arial" w:cs="Arial"/>
                <w:color w:val="FF0000"/>
                <w:sz w:val="20"/>
                <w:szCs w:val="20"/>
              </w:rPr>
              <w:t>fuentetipep</w:t>
            </w:r>
            <w:r w:rsidRPr="002A530E">
              <w:rPr>
                <w:rFonts w:ascii="Arial" w:hAnsi="Arial" w:cs="Arial"/>
                <w:color w:val="FF0000"/>
                <w:sz w:val="20"/>
                <w:szCs w:val="20"/>
              </w:rPr>
              <w:t>}</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w:t>
            </w:r>
            <w:r w:rsidRPr="003A06F6">
              <w:rPr>
                <w:rFonts w:ascii="Arial" w:hAnsi="Arial" w:cs="Arial"/>
                <w:color w:val="FF0000"/>
                <w:sz w:val="20"/>
                <w:szCs w:val="20"/>
              </w:rPr>
              <w:t>cuantiatipep</w:t>
            </w:r>
            <w:r w:rsidRPr="002A530E">
              <w:rPr>
                <w:rFonts w:ascii="Arial" w:hAnsi="Arial" w:cs="Arial"/>
                <w:color w:val="FF0000"/>
                <w:sz w:val="20"/>
                <w:szCs w:val="20"/>
              </w:rPr>
              <w:t>}</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${estudioprevio}</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w:t>
      </w:r>
      <w:proofErr w:type="spellStart"/>
      <w:r w:rsidRPr="002A530E">
        <w:rPr>
          <w:rFonts w:ascii="Arial" w:hAnsi="Arial" w:cs="Arial"/>
          <w:bCs/>
          <w:color w:val="FF0000"/>
          <w:sz w:val="20"/>
          <w:szCs w:val="20"/>
          <w:lang w:val="es-ES"/>
        </w:rPr>
        <w:t>objetocontrato</w:t>
      </w:r>
      <w:proofErr w:type="spellEnd"/>
      <w:r w:rsidRPr="002A530E">
        <w:rPr>
          <w:rFonts w:ascii="Arial" w:hAnsi="Arial" w:cs="Arial"/>
          <w:bCs/>
          <w:color w:val="FF0000"/>
          <w:sz w:val="20"/>
          <w:szCs w:val="20"/>
          <w:lang w:val="es-ES"/>
        </w:rPr>
        <w:t>}</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${numeroprocesoep}</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${numeroprocesoep}</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w:t>
      </w:r>
      <w:proofErr w:type="spellStart"/>
      <w:r w:rsidRPr="00576F8A">
        <w:rPr>
          <w:rFonts w:ascii="Arial" w:hAnsi="Arial" w:cs="Arial"/>
          <w:bCs/>
          <w:color w:val="FF0000"/>
          <w:sz w:val="20"/>
          <w:szCs w:val="20"/>
          <w:lang w:val="pt-BR"/>
        </w:rPr>
        <w:t>contratistat</w:t>
      </w:r>
      <w:proofErr w:type="spellEnd"/>
      <w:r w:rsidRPr="00576F8A">
        <w:rPr>
          <w:rFonts w:ascii="Arial" w:hAnsi="Arial" w:cs="Arial"/>
          <w:bCs/>
          <w:color w:val="FF0000"/>
          <w:sz w:val="20"/>
          <w:szCs w:val="20"/>
          <w:lang w:val="pt-BR"/>
        </w:rPr>
        <w:t>}</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w:t>
      </w:r>
      <w:proofErr w:type="spellStart"/>
      <w:r w:rsidRPr="002A530E">
        <w:rPr>
          <w:rFonts w:ascii="Arial" w:hAnsi="Arial" w:cs="Arial"/>
          <w:bCs/>
          <w:color w:val="FF0000"/>
          <w:sz w:val="20"/>
          <w:szCs w:val="20"/>
          <w:lang w:val="es-ES"/>
        </w:rPr>
        <w:t>valoradjudicacioncontratistat</w:t>
      </w:r>
      <w:proofErr w:type="spellEnd"/>
      <w:r w:rsidRPr="002A530E">
        <w:rPr>
          <w:rFonts w:ascii="Arial" w:hAnsi="Arial" w:cs="Arial"/>
          <w:bCs/>
          <w:color w:val="FF0000"/>
          <w:sz w:val="20"/>
          <w:szCs w:val="20"/>
          <w:lang w:val="es-ES"/>
        </w:rPr>
        <w:t>} ($${</w:t>
      </w:r>
      <w:proofErr w:type="spellStart"/>
      <w:r w:rsidRPr="002A530E">
        <w:rPr>
          <w:rFonts w:ascii="Arial" w:hAnsi="Arial" w:cs="Arial"/>
          <w:bCs/>
          <w:color w:val="FF0000"/>
          <w:sz w:val="20"/>
          <w:szCs w:val="20"/>
          <w:lang w:val="es-ES"/>
        </w:rPr>
        <w:t>valoradjudicacioncontratista</w:t>
      </w:r>
      <w:proofErr w:type="spellEnd"/>
      <w:r w:rsidRPr="002A530E">
        <w:rPr>
          <w:rFonts w:ascii="Arial" w:hAnsi="Arial" w:cs="Arial"/>
          <w:bCs/>
          <w:color w:val="FF0000"/>
          <w:sz w:val="20"/>
          <w:szCs w:val="20"/>
          <w:lang w:val="es-ES"/>
        </w:rPr>
        <w:t>})</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${tipocontratoep}</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w:t>
      </w:r>
      <w:proofErr w:type="spellStart"/>
      <w:r w:rsidRPr="002A530E">
        <w:rPr>
          <w:rFonts w:ascii="Arial" w:hAnsi="Arial" w:cs="Arial"/>
          <w:bCs/>
          <w:color w:val="FF0000"/>
          <w:sz w:val="20"/>
          <w:szCs w:val="20"/>
          <w:lang w:val="es-ES"/>
        </w:rPr>
        <w:t>objetocontrato</w:t>
      </w:r>
      <w:proofErr w:type="spellEnd"/>
      <w:r w:rsidRPr="002A530E">
        <w:rPr>
          <w:rFonts w:ascii="Arial" w:hAnsi="Arial" w:cs="Arial"/>
          <w:bCs/>
          <w:color w:val="FF0000"/>
          <w:sz w:val="20"/>
          <w:szCs w:val="20"/>
          <w:lang w:val="es-ES"/>
        </w:rPr>
        <w:t>}</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w:t>
      </w:r>
      <w:proofErr w:type="spellStart"/>
      <w:r w:rsidRPr="002A530E">
        <w:rPr>
          <w:rFonts w:ascii="Arial" w:hAnsi="Arial" w:cs="Arial"/>
          <w:bCs/>
          <w:color w:val="FF0000"/>
          <w:sz w:val="20"/>
          <w:szCs w:val="20"/>
          <w:lang w:val="es-ES"/>
        </w:rPr>
        <w:t>valoradjudicacioncontratistat</w:t>
      </w:r>
      <w:proofErr w:type="spellEnd"/>
      <w:r w:rsidRPr="002A530E">
        <w:rPr>
          <w:rFonts w:ascii="Arial" w:hAnsi="Arial" w:cs="Arial"/>
          <w:bCs/>
          <w:color w:val="FF0000"/>
          <w:sz w:val="20"/>
          <w:szCs w:val="20"/>
          <w:lang w:val="es-ES"/>
        </w:rPr>
        <w:t>} ($${</w:t>
      </w:r>
      <w:proofErr w:type="spellStart"/>
      <w:r w:rsidRPr="002A530E">
        <w:rPr>
          <w:rFonts w:ascii="Arial" w:hAnsi="Arial" w:cs="Arial"/>
          <w:bCs/>
          <w:color w:val="FF0000"/>
          <w:sz w:val="20"/>
          <w:szCs w:val="20"/>
          <w:lang w:val="es-ES"/>
        </w:rPr>
        <w:t>valoradjudicacioncontratista</w:t>
      </w:r>
      <w:proofErr w:type="spellEnd"/>
      <w:r w:rsidRPr="002A530E">
        <w:rPr>
          <w:rFonts w:ascii="Arial" w:hAnsi="Arial" w:cs="Arial"/>
          <w:bCs/>
          <w:color w:val="FF0000"/>
          <w:sz w:val="20"/>
          <w:szCs w:val="20"/>
          <w:lang w:val="es-ES"/>
        </w:rPr>
        <w:t>})</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${formapago}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w:t>
      </w:r>
      <w:proofErr w:type="spellStart"/>
      <w:r w:rsidRPr="002A530E">
        <w:rPr>
          <w:rFonts w:ascii="Arial" w:hAnsi="Arial" w:cs="Arial"/>
          <w:bCs/>
          <w:color w:val="FF0000"/>
          <w:sz w:val="20"/>
          <w:szCs w:val="20"/>
          <w:lang w:val="pt-BR"/>
        </w:rPr>
        <w:t>plazo</w:t>
      </w:r>
      <w:proofErr w:type="spellEnd"/>
      <w:r w:rsidRPr="002A530E">
        <w:rPr>
          <w:rFonts w:ascii="Arial" w:hAnsi="Arial" w:cs="Arial"/>
          <w:bCs/>
          <w:color w:val="FF0000"/>
          <w:sz w:val="20"/>
          <w:szCs w:val="20"/>
          <w:lang w:val="pt-BR"/>
        </w:rPr>
        <w:t>}</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${actividaddesarrollarep}</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${tablacdp}</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${tcdpuno}</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${tcdpdos}</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${tcdptres}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${tcdpcuatro}</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${tcdpcinco}</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${tablacoberturariesgoep}</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${cuantiatcrep}</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${vigenciatcrep}</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${aplicatcrep}</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${dependenciaep}</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${contratistaf}</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${nitproponente}</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w:t>
    </w:r>
    <w:proofErr w:type="spellStart"/>
    <w:r>
      <w:rPr>
        <w:rFonts w:cs="Arial"/>
        <w:b/>
        <w:sz w:val="16"/>
        <w:szCs w:val="16"/>
      </w:rPr>
      <w:t>numeroprocesoep</w:t>
    </w:r>
    <w:proofErr w:type="spellEnd"/>
    <w:r>
      <w:rPr>
        <w:rFonts w:cs="Arial"/>
        <w:b/>
        <w:sz w:val="16"/>
        <w:szCs w:val="16"/>
      </w:rPr>
      <w:t>}</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w:t>
    </w:r>
    <w:proofErr w:type="spellStart"/>
    <w:r w:rsidRPr="00DC6247">
      <w:rPr>
        <w:rFonts w:cs="Arial"/>
        <w:b/>
        <w:sz w:val="16"/>
        <w:szCs w:val="16"/>
      </w:rPr>
      <w:t>tipocontratoep</w:t>
    </w:r>
    <w:proofErr w:type="spellEnd"/>
    <w:r w:rsidRPr="00DC6247">
      <w:rPr>
        <w:rFonts w:cs="Arial"/>
        <w:b/>
        <w:sz w:val="16"/>
        <w:szCs w:val="16"/>
      </w:rPr>
      <w:t xml:space="preserve">} No. </w:t>
    </w:r>
    <w:r>
      <w:rPr>
        <w:rFonts w:cs="Arial"/>
        <w:b/>
        <w:sz w:val="16"/>
        <w:szCs w:val="16"/>
      </w:rPr>
      <w:t>${contrato} de ${</w:t>
    </w:r>
    <w:proofErr w:type="spellStart"/>
    <w:r>
      <w:rPr>
        <w:rFonts w:cs="Arial"/>
        <w:b/>
        <w:sz w:val="16"/>
        <w:szCs w:val="16"/>
      </w:rPr>
      <w:t>fechacontrato</w:t>
    </w:r>
    <w:proofErr w:type="spellEnd"/>
    <w:r>
      <w:rPr>
        <w:rFonts w:cs="Arial"/>
        <w:b/>
        <w:sz w:val="16"/>
        <w:szCs w:val="16"/>
      </w:rPr>
      <w:t>}</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