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202300002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LINO RODRIGUEZ OCHOA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74180362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31 - MENOR CUANTIA-SELEC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2023-03-27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CTOS DE PRESTACION DE SERVICIOS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2023-03-27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0622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9301020001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RADIADOR PARA INTERNATIONAL4700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2.255.000,00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2023-03-150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BAVERO  O ENFOCADOR DE LA VENTAVIOLA RADIADOR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1.197.000,76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1.197.000,76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2023-03-150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BATERIA 4D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2023-04-113386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LUCES DELANTERAS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791.350,00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791.350,00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VIDRIO TRASERO DE LA CABINA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1.345.295,00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1.345.295,00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DE PRESTACION DE SERVICIOS NO 0186 DEL 5 OCTUBRE DEL 2022; OBJETO: MANTENIMIENTO PREVENTIVO Y CORRECTIVO A TODO COSTO DEL BANCO DE MAQUINARIA ENTREGADO ENCOMODATO 1080 DEL 28 DE ENERO DEL 2022 AL MUNICIPIO DE HATO COROZAL CASANARE.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8.643.645,76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8.643.645,76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ZULMA LISBETH VIVAS RODRIGUEZ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