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2019-11-13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X2HJ081669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07PQ3CPKB06846V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02ac-100-240v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