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2021-12-14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MARLY JOHANA FIGUEREDO FRANCO 1121832515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 110.10.01-0111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HACEB,AA TAYRONA 12 INV 2202011240123 DE 12000 BTU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$3.126.932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AA TAYRONA 12 INV 2202011240123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$3.126.932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Ciento Veintiseís Mil Novecientos Treinta y Dos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$3.126.932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