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2019-10-10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MORENO  MARIA EUGENIA  1032429559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07PQ3CPM111107W, 07PQ3CPKB06846V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01ac-100-240v, 02ac-100-240v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X2HJ089857, X2HJ081669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$7.000.000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