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2022052501460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2022-05-25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MLAR INGENIERIA E.U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844004815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Un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20220329203705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