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2023011300069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$1.100.000,00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ALVAO BARAJAS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1032360394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13 # 1 -76 MONTERREY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Cien Mil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$1.100.000,00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$1.100.000,00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$1.100.000,00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CPSP No.110.10.01.0001 DEL 13/01/2023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2023011300069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2023-01-13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$1.100.000,00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JUAN ALVAO BARAJAS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1032360394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CALLE 13 # 1 -76 MONTERREY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TRANSFERENCIA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Un Millón Cien Mil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$1.100.000,00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$1.100.000,00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$1.100.000,00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$1.100.000,00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PAGO IMPUESTOS MUNICIPALES CPSP No.110.10.01.0001 DEL 13/01/2023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CARLOS ARTURO NARANJO PRADA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