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2021111202072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900658288-3 ASOCIACION DE AUTORIDADES TRADICIONALES Y CABILDOS DEL PUEBLO SALIBA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2021111202072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CONVENIO INTERADMINISTRATIVO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AL ARTE  Y TEJIDOS PROPIOS DEL PUEBLO SIKUANI Y LA TRANSMISION DE SABERES (KOTE NAKUA) EN LA COMUNIDAD DE GETSEMANI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113.736.946,00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CONVENIO INTERADMINISTRATIVO No 110.10.01.0181 DEL 10 DE NOVIEMBRE DE 2021 - AUNAR ESFUERZOS PARA FORTALECIMIENTO AL ARTE Y TEJIDOS PROPIOS DELE PUEBLO SIKUANI Y LA TRANSMISIÓN DE SABERES (KOTE NAKUA) EN LA COMUNIDAD DE GETSEMANI RESGUARDO CAÑO MOCHUELO, JURISDICCIÓN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