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FONDO  NACIONAL DE AHORRO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899999284-4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$5.397.496,00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$5.397.496,00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100.04.057 DE FEBRERO 11 DE 2022 - PAGO CESANTIAS PERIODO 2021 (ENERO A DICIEMBRE) DE EMPLEADO MUNICIPAL.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100.04.057 DE FEBRERO 11 DE 2022 - PAGO CESANTIAS PERIODO 2021 (ENERO A DICIEMBRE) DE EMPLEADO MUNICIPAL.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