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2020-05-19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$11.114.920,75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$13.536.655,26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$116.241,78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$1.351.321,09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$26.119.138,88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SERVICIOS PARA LA ADMINISTRACIÓN DE LOS RECURSOS DEL RÉGIMEN SUBSIDIADO SOCIAL EN SALUD SEGÚN LIQUIDACIÓN MENSUAL ASIGNADA PARA LA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100.04.104 DE MAYO 12 DE 2020 - RECURSOS SIN SITUACIÓN DE FONDOS RÉGIMEN SUBSIDIADO MES MAYO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0275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2020-05-19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