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$799.774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$1.496.454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$6.986.566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$1.222.174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$5.764.392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17:26:26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17:26:26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