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NUNEZ REYES PUBLIO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ESTRADA LUISA ALBERTINA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ABRIL BERROTERAN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PENSIONADO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877.803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877.803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105.400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772.403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2.747.981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329.900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2.418.081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