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27.269,26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1.011.459,73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7.083.659,29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FOSYGA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9.538.800,71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SIN SITUACIÓN DE FONDOS DE LA LMA DE RÉGIMEN SUBSIDIADO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17.661.188,42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17.661.188,42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17.661.188,42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17.661.188,42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