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2023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INGENIERIA TECNOLOGIA CONSTRUCCION Y VIAS INTECVIAS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844002898-8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33 20-68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Reteiva consultorias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3.435.248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515.287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3.435.248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515.287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QUINCE MIL DOSCIENTOS OCHENTA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OROCUÉ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2023-10-05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