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74183413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BLADIMIR  CAMACHO ROBAYO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000000010016000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0802803202321123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20233000009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11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30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$206.700,00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$55.700,00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$262.400,00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BLADIMIR  CAMACHO ROBAYO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74183413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