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$21.429.806,47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$349.669,99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$1.258.751,69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$23.038.228,15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100.04.074 DE MARZO 17 DE 2020 - RECURSOS SIN SITUACIÓN DE FONDOS MES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