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$6.841.528,65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$13.349.088,50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$122.395,20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$77.731,46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$20.390.743,81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100.04.073 DE MARZO 16 DE 2020 - RECURSOS SIN SITUACIÓN DE FONDOS MES ENERO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